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LIQUIDATION AND INSOLVENCY</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692</w:t>
        <w:t xml:space="preserve">.  </w:t>
      </w:r>
      <w:r>
        <w:rPr>
          <w:b/>
        </w:rPr>
        <w:t xml:space="preserve">Injunction to restrain insolvent corporation; receivers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693</w:t>
        <w:t xml:space="preserve">.  </w:t>
      </w:r>
      <w:r>
        <w:rPr>
          <w:b/>
        </w:rPr>
        <w:t xml:space="preserve">Duties and powers of receivers; reports; duties of commissioner and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696</w:t>
        <w:t xml:space="preserve">.  </w:t>
      </w:r>
      <w:r>
        <w:rPr>
          <w:b/>
        </w:rPr>
        <w:t xml:space="preserve">Claims not timely are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55. LIQUIDATION AND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LIQUIDATION AND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55. LIQUIDATION AND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