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Violations</w:t>
      </w:r>
    </w:p>
    <w:p>
      <w:pPr>
        <w:jc w:val="both"/>
        <w:spacing w:before="100" w:after="100"/>
        <w:ind w:start="360"/>
        <w:ind w:firstLine="360"/>
      </w:pPr>
      <w:r>
        <w:rPr/>
      </w:r>
      <w:r>
        <w:rPr/>
      </w:r>
      <w:r>
        <w:t xml:space="preserve">Any creditor, any officer or employee of a creditor, or any other person who wilfully and knowingly violates any of the provisions of this Act, or directly or indirectly counsels, aids or abets such violation, shall be punished by a fine of not more than $2,500 for each offense,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§5-301.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