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Certain negotiable instruments prohibited</w:t>
      </w:r>
    </w:p>
    <w:p>
      <w:pPr>
        <w:jc w:val="both"/>
        <w:spacing w:before="100" w:after="100"/>
        <w:ind w:start="360"/>
        <w:ind w:firstLine="360"/>
      </w:pPr>
      <w:r>
        <w:rPr/>
      </w:r>
      <w:r>
        <w:rPr/>
      </w:r>
      <w:r>
        <w:t xml:space="preserve">With respect to a consumer credit sale or consumer lease, the creditor may not take a negotiable instrument, other than a currently dated check or a draft payable within 7 days of such sale or lease.</w:t>
      </w:r>
      <w:r>
        <w:t xml:space="preserve">  </w:t>
      </w:r>
      <w:r xmlns:wp="http://schemas.openxmlformats.org/drawingml/2010/wordprocessingDrawing" xmlns:w15="http://schemas.microsoft.com/office/word/2012/wordml">
        <w:rPr>
          <w:rFonts w:ascii="Arial" w:hAnsi="Arial" w:cs="Arial"/>
          <w:sz w:val="22"/>
          <w:szCs w:val="22"/>
        </w:rPr>
        <w:t xml:space="preserve">[PL 1981, c. 243,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§§18,26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§3-307. Certain negotiable instruments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Certain negotiable instruments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§3-307. CERTAIN NEGOTIABLE INSTRUMENTS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