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Transactions subject to Act by agreement</w:t>
      </w:r>
    </w:p>
    <w:p>
      <w:pPr>
        <w:jc w:val="both"/>
        <w:spacing w:before="100" w:after="100"/>
        <w:ind w:start="360"/>
        <w:ind w:firstLine="360"/>
      </w:pPr>
      <w:r>
        <w:rPr/>
      </w:r>
      <w:r>
        <w:rPr/>
      </w:r>
      <w:r>
        <w:t xml:space="preserve">The parties to a sale, lease or loan, or modification thereof, which is not a consumer credit transaction, may agree in a writing signed by the parties that the transaction is subject to the provisions of this Act applying to consumer credit transactions. If the parties so agree, the transaction is a consumer credit transaction 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Transactions subject to Act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Transactions subject to Act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§1-109. TRANSACTIONS SUBJECT TO ACT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