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Organization of merchant banks</w:t>
      </w:r>
    </w:p>
    <w:p>
      <w:pPr>
        <w:jc w:val="both"/>
        <w:spacing w:before="100" w:after="0"/>
        <w:ind w:start="360"/>
        <w:ind w:firstLine="360"/>
      </w:pPr>
      <w:r>
        <w:rPr>
          <w:b/>
        </w:rPr>
        <w:t>1</w:t>
        <w:t xml:space="preserve">.  </w:t>
      </w:r>
      <w:r>
        <w:rPr>
          <w:b/>
        </w:rPr>
        <w:t xml:space="preserve">Organization.</w:t>
        <w:t xml:space="preserve"> </w:t>
      </w:r>
      <w:r>
        <w:t xml:space="preserve"> </w:t>
      </w:r>
      <w:r>
        <w:t xml:space="preserve">A merchant bank must be organized pursuant to </w:t>
      </w:r>
      <w:r>
        <w:t>chapter 31</w:t>
      </w:r>
      <w:r>
        <w:t xml:space="preserve"> and must be managed and governed pursuant to this Title and the applicable provisions of </w:t>
      </w:r>
      <w:r>
        <w:t>Title 13‑C</w:t>
      </w:r>
      <w:r>
        <w:t xml:space="preserve"> and </w:t>
      </w:r>
      <w:r>
        <w:t>Title 31, chapters 15</w:t>
      </w:r>
      <w:r>
        <w:t xml:space="preserve">, </w:t>
      </w:r>
      <w:r>
        <w:t>19</w:t>
      </w:r>
      <w:r>
        <w:t xml:space="preserve"> and </w:t>
      </w:r>
      <w:r>
        <w:t>21</w:t>
      </w:r>
      <w:r>
        <w:t xml:space="preserve">, depending upon the organizational form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§5 (AMD).]</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merchant bank organized prior to the effective date of this subsection, a merchant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§5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merchant bank that are filed with the Secretary of State must contain the following statement:  "This corporation, limited liability company, limited partnership or limited liability partnership is subject to the Maine Revised Statutes, </w:t>
      </w:r>
      <w:r>
        <w:t>Title 9‑B, chapter 122</w:t>
      </w:r>
      <w:r>
        <w:t xml:space="preserve"> and does not have the power to solicit, receive or accept money or its equivalent on deposit."  This statement in the organizational documents of a merchant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merchant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RR 2001, c. 2, §B20 (COR). RR 2001, c. 2, §B58 (AFF). PL 2005, c. 543, §D5 (AMD). PL 2005, c. 543, §D18 (AFF). PL 2009, c. 629, Pt. A, §3 (AFF). PL 2009, c. 629, Pt. B, §5 (AMD). PL 2021, c. 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Organization of merchant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Organization of merchant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§1222. ORGANIZATION OF MERCHANT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