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16-110</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16‑111</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private education lender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person who suffers damage as a result of the failure of another person to comply with this Article may bring an action against the other person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Any other relief that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Purporting to act as agent for an entity exempt from this Article.</w:t>
        <w:t xml:space="preserve"> </w:t>
      </w:r>
      <w:r>
        <w:t xml:space="preserve"> </w:t>
      </w:r>
      <w:r>
        <w:t xml:space="preserve">A person is subject to the requirements of this Article notwithstanding the fact that the person purports to act as an agent or in another capacity for an entity that is exempt from this Article, if, among other things:</w:t>
      </w:r>
    </w:p>
    <w:p>
      <w:pPr>
        <w:jc w:val="both"/>
        <w:spacing w:before="100" w:after="0"/>
        <w:ind w:start="720"/>
      </w:pPr>
      <w:r>
        <w:rPr/>
        <w:t>A</w:t>
        <w:t xml:space="preserve">.  </w:t>
      </w:r>
      <w:r>
        <w:rPr/>
      </w:r>
      <w:r>
        <w:t xml:space="preserve">The person holds, acquires or maintains, directly or indirectly, the predominant economic interest in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person markets, brokers, arranges or facilitates the loan and holds the right, requirement or right of first refusal to purchase the private education loan or a receivable or interest in the private education loan;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The totality of the circumstances indicate that the person is the private education lender and the transaction is structured to evade the requirements of this Article. Circumstances that weigh in favor of a person being a private education lender include, without limitation, when the person:</w:t>
      </w:r>
    </w:p>
    <w:p>
      <w:pPr>
        <w:jc w:val="both"/>
        <w:spacing w:before="100" w:after="0"/>
        <w:ind w:start="1080"/>
      </w:pPr>
      <w:r>
        <w:rPr/>
        <w:t>(</w:t>
        <w:t>1</w:t>
        <w:t xml:space="preserve">)  </w:t>
      </w:r>
      <w:r>
        <w:rPr/>
      </w:r>
      <w:r>
        <w:t xml:space="preserve">Indemnifies, insures or protects an entity exempt from this Article for any costs or risks related to the private education loan;</w:t>
      </w:r>
    </w:p>
    <w:p>
      <w:pPr>
        <w:jc w:val="both"/>
        <w:spacing w:before="100" w:after="0"/>
        <w:ind w:start="1080"/>
      </w:pPr>
      <w:r>
        <w:rPr/>
        <w:t>(</w:t>
        <w:t>2</w:t>
        <w:t xml:space="preserve">)  </w:t>
      </w:r>
      <w:r>
        <w:rPr/>
      </w:r>
      <w:r>
        <w:t xml:space="preserve">Predominantly designs, controls or operates the private education loan program; or</w:t>
      </w:r>
    </w:p>
    <w:p>
      <w:pPr>
        <w:jc w:val="both"/>
        <w:spacing w:before="100" w:after="0"/>
        <w:ind w:start="1080"/>
      </w:pPr>
      <w:r>
        <w:rPr/>
        <w:t>(</w:t>
        <w:t>3</w:t>
        <w:t xml:space="preserve">)  </w:t>
      </w:r>
      <w:r>
        <w:rPr/>
      </w:r>
      <w:r>
        <w:t xml:space="preserve">Purports to act as an agent or in another capacity for an entity exempt from this Article while acting directly as a private education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§16-110.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