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w:t>
        <w:t xml:space="preserve">.  </w:t>
      </w:r>
      <w:r>
        <w:rPr>
          <w:b/>
        </w:rPr>
        <w:t xml:space="preserve">Property management</w:t>
      </w:r>
    </w:p>
    <w:p>
      <w:pPr>
        <w:jc w:val="both"/>
        <w:spacing w:before="100" w:after="100"/>
        <w:ind w:start="360"/>
        <w:ind w:firstLine="360"/>
      </w:pPr>
      <w:r>
        <w:rPr/>
      </w:r>
      <w:r>
        <w:rPr/>
      </w:r>
      <w:r>
        <w:t xml:space="preserve">An agricultural society may acquire and hold property, real and personal. The annual income from this property must be used for the purposes stated in the society's charter. The treasurer for a society may receive conveyances or leases of property for the society, and hold, sell, mortgage or pledge the property.  A treasurer using this authority to manage property shall give bonds to the trustees of the society for safekeeping and the faithful discharge of the treasurer's duties.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 Property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 Property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§93. PROPERTY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