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638</w:t>
        <w:t xml:space="preserve">.  </w:t>
      </w:r>
      <w:r>
        <w:rPr>
          <w:b/>
        </w:rPr>
        <w:t xml:space="preserve">Disposal of forfeitures</w:t>
      </w:r>
    </w:p>
    <w:p>
      <w:pPr>
        <w:jc w:val="both"/>
        <w:spacing w:before="100" w:after="100"/>
        <w:ind w:start="360"/>
        <w:ind w:firstLine="360"/>
      </w:pPr>
      <w:r>
        <w:rPr/>
      </w:r>
      <w:r>
        <w:rPr/>
      </w:r>
      <w:r>
        <w:t xml:space="preserve">All fines imposed for violation of this subchapter must be paid to the commissioner. The commissioner shall send all fines received for violations of this subchapter to the Treasurer of State for deposit in the General Fund.</w:t>
      </w:r>
      <w:r>
        <w:t xml:space="preserve">  </w:t>
      </w:r>
      <w:r xmlns:wp="http://schemas.openxmlformats.org/drawingml/2010/wordprocessingDrawing" xmlns:w15="http://schemas.microsoft.com/office/word/2012/wordml">
        <w:rPr>
          <w:rFonts w:ascii="Arial" w:hAnsi="Arial" w:cs="Arial"/>
          <w:sz w:val="22"/>
          <w:szCs w:val="22"/>
        </w:rPr>
        <w:t xml:space="preserve">[PL 2005, c. 512,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§67 (RPR). PL 2005, c. 512,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§638. Disposal of forfeitures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§638. Disposal of forfeitures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§638. DISPOSAL OF FORFEITURES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