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Enforcing official</w:t>
      </w:r>
    </w:p>
    <w:p>
      <w:pPr>
        <w:jc w:val="both"/>
        <w:spacing w:before="100" w:after="100"/>
        <w:ind w:start="360"/>
        <w:ind w:firstLine="360"/>
      </w:pPr>
      <w:r>
        <w:rPr/>
      </w:r>
      <w:r>
        <w:rPr/>
      </w:r>
      <w:r>
        <w:t xml:space="preserve">This subchapter is administered by the Board of Pesticides Control, referred to in this subchapter as the "board," established in </w:t>
      </w:r>
      <w:r>
        <w:t>Title 5, section 12004‑D, subsection 3</w:t>
      </w:r>
      <w:r>
        <w:t xml:space="preserve"> and further described in </w:t>
      </w:r>
      <w:r>
        <w:t>Title 22, chapter 258‑A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1979, c. 731, §19 (AMD). PL 1989, c. 841, §1 (AMD). PL 1989, c. 878, §E1 (AMD). PL 1993, c. 349, §22 (RPR). PL 2005, c. 620,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§602. Enforcing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Enforcing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§602. ENFORCING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