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Violations</w:t>
      </w:r>
    </w:p>
    <w:p>
      <w:pPr>
        <w:jc w:val="both"/>
        <w:spacing w:before="100" w:after="100"/>
        <w:ind w:start="360"/>
        <w:ind w:firstLine="360"/>
      </w:pPr>
      <w:r>
        <w:rPr/>
      </w:r>
      <w:r>
        <w:rPr/>
      </w:r>
      <w:r>
        <w:t xml:space="preserve">Any person or entity who violates any of the provisions of this chapter or any rule adopted under </w:t>
      </w:r>
      <w:r>
        <w:t>section 1303</w:t>
      </w:r>
      <w:r>
        <w:t xml:space="preserve">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 (AMD). PL 1967, c. 227, §3 (AMD). PL 1977, c. 696, §88 (RPR). PL 1979, c. 541, §A68 (AMD). PL 2001, c. 572,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