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4661</w:t>
        <w:t xml:space="preserve">.  </w:t>
      </w:r>
      <w:r>
        <w:rPr>
          <w:b/>
        </w:rPr>
        <w:t xml:space="preserve">Access to certain private images and written information</w:t>
      </w:r>
    </w:p>
    <w:p>
      <w:pPr>
        <w:jc w:val="both"/>
        <w:spacing w:before="100" w:after="100"/>
        <w:ind w:start="360"/>
        <w:ind w:firstLine="360"/>
      </w:pPr>
      <w:r>
        <w:rPr/>
      </w:r>
      <w:r>
        <w:rPr/>
      </w:r>
      <w:r>
        <w:t xml:space="preserve">Access to and dissemination of certain private images as described in </w:t>
      </w:r>
      <w:r>
        <w:t>Title 17‑A, section 511‑A</w:t>
      </w:r>
      <w:r>
        <w:t xml:space="preserve"> and any written information describing and directly pertaining to the images contained in court records are governed by rule or administrative order adopted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2015, c. 410, Pt. C,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410, Pt. C,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§4661. Access to certain private images and written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§4661. Access to certain private images and written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§4661. ACCESS TO CERTAIN PRIVATE IMAGES AND WRITTEN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