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may elect to be governed by this article instead of </w:t>
      </w:r>
      <w:r>
        <w:t>article 3</w:t>
      </w:r>
      <w:r>
        <w:t xml:space="preserve"> by making written application to the chief executive officer within 6 months of October 1, 1989.</w:t>
      </w:r>
      <w:r>
        <w:t xml:space="preserve">  </w:t>
      </w:r>
      <w:r xmlns:wp="http://schemas.openxmlformats.org/drawingml/2010/wordprocessingDrawing" xmlns:w15="http://schemas.microsoft.com/office/word/2012/wordml">
        <w:rPr>
          <w:rFonts w:ascii="Arial" w:hAnsi="Arial" w:cs="Arial"/>
          <w:sz w:val="22"/>
          <w:szCs w:val="22"/>
        </w:rPr>
        <w:t xml:space="preserve">[RR 1997, c. 2, §22 (COR);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RR 1997, c. 2, §22 (COR).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§17934.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§17934.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§17934.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