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§17751. DETERMINATION OF ONE-YEAR'S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