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1255</w:t>
        <w:t xml:space="preserve">.  </w:t>
      </w:r>
      <w:r>
        <w:rPr>
          <w:b/>
        </w:rPr>
        <w:t xml:space="preserve">Legislative findings and intent</w:t>
      </w:r>
    </w:p>
    <w:p>
      <w:pPr>
        <w:jc w:val="both"/>
        <w:spacing w:before="100" w:after="0"/>
        <w:ind w:start="360"/>
        <w:ind w:firstLine="360"/>
      </w:pPr>
      <w:r>
        <w:rPr>
          <w:b/>
        </w:rPr>
        <w:t>1</w:t>
        <w:t xml:space="preserve">.  </w:t>
      </w:r>
      <w:r>
        <w:rPr>
          <w:b/>
        </w:rPr>
        <w:t xml:space="preserve">Findings.</w:t>
        <w:t xml:space="preserve"> </w:t>
      </w:r>
      <w:r>
        <w:t xml:space="preserve"> </w:t>
      </w:r>
      <w:r>
        <w:t xml:space="preserve">The Legislature finds that the State owes a great debt to its retired judges for their years of faithful and productive service. Part of that debt is repaid by the benefits provided to judges through the Judicial Retirement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§44 (AMD).]</w:t>
      </w:r>
    </w:p>
    <w:p>
      <w:pPr>
        <w:jc w:val="both"/>
        <w:spacing w:before="100" w:after="0"/>
        <w:ind w:start="360"/>
        <w:ind w:firstLine="360"/>
      </w:pPr>
      <w:r>
        <w:rPr>
          <w:b/>
        </w:rPr>
        <w:t>2</w:t>
        <w:t xml:space="preserve">.  </w:t>
      </w:r>
      <w:r>
        <w:rPr>
          <w:b/>
        </w:rPr>
        <w:t xml:space="preserve">Intent.</w:t>
        <w:t xml:space="preserve"> </w:t>
      </w:r>
      <w:r>
        <w:t xml:space="preserve"> </w:t>
      </w:r>
      <w:r>
        <w:t xml:space="preserve">It is the intent of the Legislature that there is appropriated and transferred annually to the Judicial Retirement Program the funds necessary to meet the program's long-term and short-term financial obligations based on the actuarial assumptions established by the board of trustees upon the advice of the actuary. The goal of the actuarial assumptions is to achieve a fully funded program. The program's unfunded liability for members formerly subject to sections 5, 103 and 157-A, is funded by annual appropriations over the funding period of the program. This section does not apply to justices and judges who retired prior to December 1, 1984.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§44 (AMD).]</w:t>
      </w:r>
    </w:p>
    <w:p>
      <w:pPr>
        <w:jc w:val="both"/>
        <w:spacing w:before="100" w:after="0"/>
        <w:ind w:start="360"/>
        <w:ind w:firstLine="360"/>
      </w:pPr>
      <w:r>
        <w:rPr>
          <w:b/>
        </w:rPr>
        <w:t>3</w:t>
        <w:t xml:space="preserve">.  </w:t>
      </w:r>
      <w:r>
        <w:rPr>
          <w:b/>
        </w:rPr>
        <w:t xml:space="preserve">Implementation.</w:t>
        <w:t xml:space="preserve"> </w:t>
      </w:r>
      <w:r>
        <w:t xml:space="preserve"> </w:t>
      </w:r>
      <w:r>
        <w:t xml:space="preserve">It is the responsibility of the board of trustees to calculate the funds necessary to maintain the program on an actuarially sound basis, including the unfunded liability arising from payment of benefits for which contributions were not received and to transmit those calculations to the State Budget Officer as required by </w:t>
      </w:r>
      <w:r>
        <w:t>Title 5, sections 1661</w:t>
      </w:r>
      <w:r>
        <w:t xml:space="preserve"> to </w:t>
      </w:r>
      <w:r>
        <w:t>1667</w:t>
      </w:r>
      <w:r>
        <w:t xml:space="preserve">. It is the responsibility of the Legislature to appropriate and transfer those funds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§44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§§B17,B45 (AMD). PL 2007, c. 491, §44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§1255. Legislative findings and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§1255. Legislative findings and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§1255. LEGISLATIVE FINDINGS AND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