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321-A</w:t>
        <w:t xml:space="preserve">.  </w:t>
      </w:r>
      <w:r>
        <w:rPr>
          <w:b/>
        </w:rPr>
        <w:t xml:space="preserve">Appellate Division</w:t>
      </w:r>
    </w:p>
    <w:p>
      <w:pPr>
        <w:jc w:val="both"/>
        <w:spacing w:before="100" w:after="0"/>
        <w:ind w:start="360"/>
        <w:ind w:firstLine="360"/>
      </w:pPr>
      <w:r>
        <w:rPr>
          <w:b/>
        </w:rPr>
        <w:t>1</w:t>
        <w:t xml:space="preserve">.  </w:t>
      </w:r>
      <w:r>
        <w:rPr>
          <w:b/>
        </w:rPr>
        <w:t xml:space="preserve">Establishment.</w:t>
        <w:t xml:space="preserve"> </w:t>
      </w:r>
      <w:r>
        <w:t xml:space="preserve"> </w:t>
      </w:r>
      <w:r>
        <w:t xml:space="preserve">There is established within the board the Appellate Division, referred to in this subchapter as "the division."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647, §20 (NEW).]</w:t>
      </w:r>
    </w:p>
    <w:p>
      <w:pPr>
        <w:jc w:val="both"/>
        <w:spacing w:before="100" w:after="0"/>
        <w:ind w:start="360"/>
        <w:ind w:firstLine="360"/>
      </w:pPr>
      <w:r>
        <w:rPr>
          <w:b/>
        </w:rPr>
        <w:t>2</w:t>
        <w:t xml:space="preserve">.  </w:t>
      </w:r>
      <w:r>
        <w:rPr>
          <w:b/>
        </w:rPr>
        <w:t xml:space="preserve">Composition.</w:t>
        <w:t xml:space="preserve"> </w:t>
      </w:r>
      <w:r>
        <w:t xml:space="preserve"> </w:t>
      </w:r>
      <w:r>
        <w:t xml:space="preserve">The division is composed of full-time administrative law judges who are appointed by the executive director of the board to serve on panels to review decisions under </w:t>
      </w:r>
      <w:r>
        <w:t>section 318</w:t>
      </w:r>
      <w:r>
        <w:t xml:space="preserve">. The executive director of the board shall appoint no fewer than 3 full-time administrative law judges to serve as members of a panel.  An administrative law judge may not serve as a member of a panel that reviews a decision of that administrative law judge.  An administrative law judge may be a member of more than one panel at the discretion of the executive director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297, §15 (AMD).]</w:t>
      </w:r>
    </w:p>
    <w:p>
      <w:pPr>
        <w:jc w:val="both"/>
        <w:spacing w:before="100" w:after="0"/>
        <w:ind w:start="360"/>
        <w:ind w:firstLine="360"/>
      </w:pPr>
      <w:r>
        <w:rPr>
          <w:b/>
        </w:rPr>
        <w:t>3</w:t>
        <w:t xml:space="preserve">.  </w:t>
      </w:r>
      <w:r>
        <w:rPr>
          <w:b/>
        </w:rPr>
        <w:t xml:space="preserve">Rules.</w:t>
        <w:t xml:space="preserve"> </w:t>
      </w:r>
      <w:r>
        <w:t xml:space="preserve"> </w:t>
      </w:r>
      <w:r>
        <w:t xml:space="preserve">The board shall adopt rules of procedure designed to provide a prompt and inexpensive review of a decision by an administrative law judge.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297,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647, §20 (NEW). PL 2015, c. 297, §15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§321-A. Appellate Division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§321-A. Appellate Division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39-A, §321-A. APPELLATE DIVISION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