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6764</w:t>
        <w:t xml:space="preserve">.  </w:t>
      </w:r>
      <w:r>
        <w:rPr>
          <w:b/>
        </w:rPr>
        <w:t xml:space="preserve">Annual report</w:t>
      </w:r>
    </w:p>
    <w:p>
      <w:pPr>
        <w:jc w:val="both"/>
        <w:spacing w:before="100" w:after="100"/>
        <w:ind w:start="360"/>
        <w:ind w:firstLine="360"/>
      </w:pPr>
      <w:r>
        <w:rPr/>
      </w:r>
      <w:r>
        <w:rPr/>
      </w:r>
      <w:r>
        <w:t xml:space="preserve">On or before March 1st annually, beginning in 2025, the commissioner shall report to the joint standing committees of the Legislature having jurisdiction over taxation matters and economic development matters information including the:</w:t>
      </w:r>
      <w:r>
        <w:t xml:space="preserve">  </w:t>
      </w:r>
      <w:r xmlns:wp="http://schemas.openxmlformats.org/drawingml/2010/wordprocessingDrawing" xmlns:w15="http://schemas.microsoft.com/office/word/2012/wordml">
        <w:rPr>
          <w:rFonts w:ascii="Arial" w:hAnsi="Arial" w:cs="Arial"/>
          <w:sz w:val="22"/>
          <w:szCs w:val="22"/>
        </w:rPr>
        <w:t xml:space="preserve">[PL 2023, c. 631, §3 (NEW).]</w:t>
      </w:r>
    </w:p>
    <w:p>
      <w:pPr>
        <w:jc w:val="both"/>
        <w:spacing w:before="100" w:after="0"/>
        <w:ind w:start="360"/>
        <w:ind w:firstLine="360"/>
      </w:pPr>
      <w:r>
        <w:rPr>
          <w:b/>
        </w:rPr>
        <w:t>1</w:t>
        <w:t xml:space="preserve">.  </w:t>
      </w:r>
      <w:r>
        <w:rPr>
          <w:b/>
        </w:rPr>
        <w:t xml:space="preserve">Applicant information.</w:t>
        <w:t xml:space="preserve"> </w:t>
      </w:r>
      <w:r>
        <w:t xml:space="preserve"> </w:t>
      </w:r>
      <w:r>
        <w:t xml:space="preserve">Name, municipality in this State in which the business's primary place of business is located and business type, including the parent company, if applicable, of each applicant approved for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2</w:t>
        <w:t xml:space="preserve">.  </w:t>
      </w:r>
      <w:r>
        <w:rPr>
          <w:b/>
        </w:rPr>
        <w:t xml:space="preserve">Reimbursement.</w:t>
        <w:t xml:space="preserve"> </w:t>
      </w:r>
      <w:r>
        <w:t xml:space="preserve"> </w:t>
      </w:r>
      <w:r>
        <w:t xml:space="preserve">Aggregate amounts of reimbursements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3</w:t>
        <w:t xml:space="preserve">.  </w:t>
      </w:r>
      <w:r>
        <w:rPr>
          <w:b/>
        </w:rPr>
        <w:t xml:space="preserve">Number of jobs.</w:t>
        <w:t xml:space="preserve"> </w:t>
      </w:r>
      <w:r>
        <w:t xml:space="preserve"> </w:t>
      </w:r>
      <w:r>
        <w:t xml:space="preserve">Numbers of jobs created as a consequence of the employment tax increment financing development program;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4</w:t>
        <w:t xml:space="preserve">.  </w:t>
      </w:r>
      <w:r>
        <w:rPr>
          <w:b/>
        </w:rPr>
        <w:t xml:space="preserve">Amount of wages.</w:t>
        <w:t xml:space="preserve"> </w:t>
      </w:r>
      <w:r>
        <w:t xml:space="preserve"> </w:t>
      </w:r>
      <w:r>
        <w:t xml:space="preserve">Aggregate amounts of wages paid for jobs created as a consequence of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§6764.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§6764.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§6764.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