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§1120. Program promotion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Program promotion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§1120. PROGRAM PROMOTION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