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Liability</w:t>
      </w:r>
    </w:p>
    <w:p>
      <w:pPr>
        <w:jc w:val="both"/>
        <w:spacing w:before="100" w:after="100"/>
        <w:ind w:start="360"/>
        <w:ind w:firstLine="360"/>
      </w:pPr>
      <w:r>
        <w:rPr/>
      </w:r>
      <w:r>
        <w:rPr/>
      </w:r>
      <w:r>
        <w:t xml:space="preserve">A person is liable to the owner or operator of the overhead high-voltage line and 3rd parties, if any, for all or part of the damages to facilities and injuries to persons and all or part of the costs, expenses and liabilities incurred by the owner or operator of the overhead high-voltage lines and 3rd parties, if any, as a result of any contact with an overhead high-voltage line if the person causes, permits or allows any work or activity in violation of a provision of this chapter and, as a result, a physical or electrical contact with an overhead high-voltage line occurs.  The allocation of damages must be based on the comparative negligence of the parties as set forth in </w:t>
      </w:r>
      <w:r>
        <w:t>Title 14, section 156</w:t>
      </w:r>
      <w:r>
        <w:t xml:space="preserve">, except that employers of injured persons are immune from payment of damages to the extent provided under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2021, c. 618,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618,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§760.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