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§7107. UNAUTHORIZED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