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Special privileges forbidden</w:t>
      </w:r>
    </w:p>
    <w:p>
      <w:pPr>
        <w:jc w:val="both"/>
        <w:spacing w:before="100" w:after="0"/>
        <w:ind w:start="360"/>
        <w:ind w:firstLine="360"/>
      </w:pPr>
      <w:r>
        <w:rPr>
          <w:b/>
        </w:rPr>
        <w:t>1</w:t>
        <w:t xml:space="preserve">.  </w:t>
      </w:r>
      <w:r>
        <w:rPr>
          <w:b/>
        </w:rPr>
        <w:t xml:space="preserve">Person furnishing facilities incident to service.</w:t>
        <w:t xml:space="preserve"> </w:t>
      </w:r>
      <w:r>
        <w:t xml:space="preserve"> </w:t>
      </w:r>
      <w:r>
        <w:t xml:space="preserve">No public utility may demand, charge, collect or receive from any person less compensation for any service rendered or to be rendered by the public utility in consideration of the person furnishing a part of the facilities incident to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Renting facilities.</w:t>
        <w:t xml:space="preserve"> </w:t>
      </w:r>
      <w:r>
        <w:t xml:space="preserve"> </w:t>
      </w:r>
      <w:r>
        <w:t xml:space="preserve">This section does not prohibit a public utility from renting any facilities incident to the production, transmission, delivery or furnishing of transmission and distribution service, gas, heat or water or the conveyance of telephone messages and paying a reasonable rental for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§16 (AMD); PL 1999, c. 398, Pt. A, §§104, 105 (AFF).]</w:t>
      </w:r>
    </w:p>
    <w:p>
      <w:pPr>
        <w:jc w:val="both"/>
        <w:spacing w:before="100" w:after="0"/>
        <w:ind w:start="360"/>
        <w:ind w:firstLine="360"/>
      </w:pPr>
      <w:r>
        <w:rPr>
          <w:b/>
        </w:rPr>
        <w:t>3</w:t>
        <w:t xml:space="preserve">.  </w:t>
      </w:r>
      <w:r>
        <w:rPr>
          <w:b/>
        </w:rPr>
        <w:t xml:space="preserve">Furnishing appliances.</w:t>
        <w:t xml:space="preserve"> </w:t>
      </w:r>
      <w:r>
        <w:t xml:space="preserve"> </w:t>
      </w:r>
      <w:r>
        <w:t xml:space="preserve">Nothing in this section requires a public utility to furnish any part of the appliances which are situated in or upon the premises of any customer or user, except a telephone interface upon the subscribers' premises, and unless otherwise ordered by the commission, meters and appliances for the measurement of any product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§3 (AMD).]</w:t>
      </w:r>
    </w:p>
    <w:p>
      <w:pPr>
        <w:jc w:val="both"/>
        <w:spacing w:before="100" w:after="0"/>
        <w:ind w:start="360"/>
        <w:ind w:firstLine="360"/>
      </w:pPr>
      <w:r>
        <w:rPr>
          <w:b/>
        </w:rPr>
        <w:t>4</w:t>
        <w:t xml:space="preserve">.  </w:t>
      </w:r>
      <w:r>
        <w:rPr>
          <w:b/>
        </w:rPr>
        <w:t xml:space="preserve">Classifications of telephone service.</w:t>
        <w:t xml:space="preserve"> </w:t>
      </w:r>
      <w:r>
        <w:t xml:space="preserve"> </w:t>
      </w:r>
      <w:r>
        <w:t xml:space="preserve">Nothing in this section affects scheduled classifications of telephone service in which separate charges are made for facilities and for service or scheduled classifications of rural telephone service in which a portion of the facilities are regularly furnished by the user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§C3 (AMD). PL 1995, c. 225, §5 (AMD). PL 1999, c. 398, §A16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Special privileges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Special privileges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§701. SPECIAL PRIVILEGES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