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Standard districts; procedures in exercising eminent domain</w:t>
      </w:r>
    </w:p>
    <w:p>
      <w:pPr>
        <w:jc w:val="both"/>
        <w:spacing w:before="100" w:after="100"/>
        <w:ind w:start="360"/>
        <w:ind w:firstLine="360"/>
      </w:pPr>
      <w:r>
        <w:rPr/>
      </w:r>
      <w:r>
        <w:rPr/>
      </w:r>
      <w:r>
        <w:t xml:space="preserve">Except as otherwise provided by law, a standard district must exercise the right of eminent domain granted under </w:t>
      </w:r>
      <w:r>
        <w:t>section 6408</w:t>
      </w:r>
      <w:r>
        <w:t xml:space="preserve"> in accordance with this chapter and </w:t>
      </w:r>
      <w:r>
        <w:t>chapters 65</w:t>
      </w:r>
      <w:r>
        <w:t xml:space="preserve"> and </w:t>
      </w:r>
      <w:r>
        <w:t>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§6409. Standard districts; procedures in exercising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Standard districts; procedures in exercising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§6409. STANDARD DISTRICTS; PROCEDURES IN EXERCISING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