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Recordation of mortgages; effect</w:t>
      </w:r>
    </w:p>
    <w:p>
      <w:pPr>
        <w:jc w:val="both"/>
        <w:spacing w:before="100" w:after="100"/>
        <w:ind w:start="360"/>
        <w:ind w:firstLine="360"/>
      </w:pPr>
      <w:r>
        <w:rPr/>
      </w:r>
      <w:r>
        <w:rPr/>
      </w:r>
      <w:r>
        <w:t xml:space="preserve">All after-acquired property of a cooperative or foreign corporation described or referred to as being mortgaged or pledged in a mortgage, deed of trust or other instrument is subject to the lien on that property immediately upon the acquisition of the property by the cooperative or foreign corporation, whether or not the property was in existence at the time of the execution of the mortgage, deed of trust or other instrument.  Recordation of a mortgage, deed of trust or other instrument constitutes notice and otherwise has the same effect with respect to the after-acquired property owned by the cooperative or foreign corporation at the time of the execution of the mortgage, deed of trust or other instrument and described or referred to in the instrument as being mortgaged or pledged.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§3707. Recordation of mortgages;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Recordation of mortgages;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§3707. RECORDATION OF MORTGAGES;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