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§3608. Regulatory approvals; use of public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Regulatory approvals; use of public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§3608. REGULATORY APPROVALS; USE OF PUBLIC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