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3605</w:t>
        <w:t xml:space="preserve">.  </w:t>
      </w:r>
      <w:r>
        <w:rPr>
          <w:b/>
        </w:rPr>
        <w:t xml:space="preserve">Renewable energy credit multiplier</w:t>
      </w:r>
    </w:p>
    <w:p>
      <w:pPr>
        <w:jc w:val="both"/>
        <w:spacing w:before="100" w:after="100"/>
        <w:ind w:start="360"/>
        <w:ind w:firstLine="360"/>
      </w:pPr>
      <w:r>
        <w:rPr/>
      </w:r>
      <w:r>
        <w:rPr/>
      </w:r>
      <w:r>
        <w:t xml:space="preserve">The renewable energy credit multiplier is governed by this section.  The value of a renewable energy credit for electricity generated by a program participant that elects the renewable energy credit multiplier under </w:t>
      </w:r>
      <w:r>
        <w:t>section 3603, subsection 4, paragraph B</w:t>
      </w:r>
      <w:r>
        <w:t xml:space="preserve"> is 150% of the amount of the electricity.  When a program participant elects the renewable energy credit multiplier, the multiplier must be accounted for when renewable energy credits are used to satisfy the portfolio requirements of </w:t>
      </w:r>
      <w:r>
        <w:t>section 3210, subsections 3</w:t>
      </w:r>
      <w:r>
        <w:t xml:space="preserve"> and </w:t>
      </w:r>
      <w:r>
        <w:t>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§3605. Renewable energy credit multiplier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§3605. Renewable energy credit multiplier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§3605. RENEWABLE ENERGY CREDIT MULTIPLIER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