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§3406. OFFSHORE WIND RESEARCH CONSORTIUM;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