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Remedies on default of public utility securities</w:t>
      </w:r>
    </w:p>
    <w:p>
      <w:pPr>
        <w:jc w:val="both"/>
        <w:spacing w:before="100" w:after="100"/>
        <w:ind w:start="360"/>
        <w:ind w:firstLine="360"/>
      </w:pPr>
      <w:r>
        <w:rPr/>
      </w:r>
      <w:r>
        <w:rPr/>
      </w:r>
      <w:r>
        <w:t xml:space="preserve">In the event of default by a public utility in the payment of interest on, or principal of, any public utility bond owned or held by the bank as and when due and payable the bank shall proceed to enforce or cause to be enforced payment pursuant to applicable provisions of law of that interest or principal or other amounts then due and payable.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§2922. Remedies on default of public utility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Remedies on default of public utility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§2922. REMEDIES ON DEFAULT OF PUBLIC UTILITY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