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Appeals; costs</w:t>
      </w:r>
    </w:p>
    <w:p>
      <w:pPr>
        <w:jc w:val="both"/>
        <w:spacing w:before="100" w:after="100"/>
        <w:ind w:start="360"/>
        <w:ind w:firstLine="360"/>
      </w:pPr>
      <w:r>
        <w:rPr/>
      </w:r>
      <w:r>
        <w:rPr/>
      </w:r>
      <w:r>
        <w:t xml:space="preserve">Either party aggrieved by the assessment of damages may, within 20 days after the award, appeal to the Superior Court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Complaint and notice.</w:t>
        <w:t xml:space="preserve"> </w:t>
      </w:r>
      <w:r>
        <w:t xml:space="preserve"> </w:t>
      </w:r>
      <w:r>
        <w:t xml:space="preserve">When the appeal is taken 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Decision.</w:t>
        <w:t xml:space="preserve"> </w:t>
      </w:r>
      <w:r>
        <w:t xml:space="preserve"> </w:t>
      </w:r>
      <w:r>
        <w:t xml:space="preserve">After entry, the matter shall be determined by a jury, or by the court by agreement of parties, in the same manner as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If the person constructing the line appeals and the award is not decreased, the person constructing the line shall pay the costs. If the applicant appeals and the award is not increased, the applicant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Appeals;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Appeals;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§2506. APPEALS;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