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Information from utilities</w:t>
      </w:r>
    </w:p>
    <w:p>
      <w:pPr>
        <w:jc w:val="both"/>
        <w:spacing w:before="100" w:after="100"/>
        <w:ind w:start="360"/>
        <w:ind w:firstLine="360"/>
      </w:pPr>
      <w:r>
        <w:rPr/>
      </w:r>
      <w:r>
        <w:rPr/>
      </w:r>
      <w:r>
        <w:t xml:space="preserve">Utilities shall provide to the Public Advocate copies of all reports and other information required to be filed with or which may be submitted to the commission, except to the extent that this requirement is waived, in writing, by the Public Advocate.  The Public Advocate has the same right to request data as an intervenor in a proceeding before the commission, and, in addition, may petition the commission for good cause shown to be allowed such other information as may be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Information from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§1708. INFORMATION FROM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