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Contempt</w:t>
      </w:r>
    </w:p>
    <w:p>
      <w:pPr>
        <w:jc w:val="both"/>
        <w:spacing w:before="100" w:after="100"/>
        <w:ind w:start="360"/>
        <w:ind w:firstLine="360"/>
      </w:pPr>
      <w:r>
        <w:rPr/>
      </w:r>
      <w:r>
        <w:rPr/>
      </w:r>
      <w:r>
        <w:t xml:space="preserve">Every public utility or person that fails to comply with an order, decision, rule, direction, demand or requirement of the commission or of a commissioner is in contempt of the commission and shall be punished by the commission for contempt in the same manner as contempt is punished by courts of record.  Punishment for contempt is not a bar to and does not affect any other remedy prescribed in this Title, but is cumulative and in addition to other remedies.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§1502.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