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103-B</w:t>
        <w:t xml:space="preserve">.  </w:t>
      </w:r>
      <w:r>
        <w:rPr>
          <w:b/>
        </w:rPr>
        <w:t xml:space="preserve">Affordability impact considerations</w:t>
      </w:r>
    </w:p>
    <w:p>
      <w:pPr>
        <w:jc w:val="both"/>
        <w:spacing w:before="100" w:after="100"/>
        <w:ind w:start="360"/>
        <w:ind w:firstLine="360"/>
      </w:pPr>
      <w:r>
        <w:rPr/>
      </w:r>
      <w:r>
        <w:rPr/>
      </w:r>
      <w:r>
        <w:t xml:space="preserve">In executing its duties, powers and regulatory functions under this Title, the commission, while ensuring system reliability, shall consider the impact on affordability for residential customers.</w:t>
      </w:r>
      <w:r>
        <w:t xml:space="preserve">  </w:t>
      </w:r>
      <w:r xmlns:wp="http://schemas.openxmlformats.org/drawingml/2010/wordprocessingDrawing" xmlns:w15="http://schemas.microsoft.com/office/word/2012/wordml">
        <w:rPr>
          <w:rFonts w:ascii="Arial" w:hAnsi="Arial" w:cs="Arial"/>
          <w:sz w:val="22"/>
          <w:szCs w:val="22"/>
        </w:rPr>
        <w:t xml:space="preserve">[PL 2025, c. 588,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§103-B. Affordability impact considerations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§103-B. Affordability impact considerations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§103-B. AFFORDABILITY IMPACT CONSIDERATIONS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