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EFFICIENCY MAINE TRUST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 and</w:t>
      </w:r>
      <w:r>
        <w:t xml:space="preserve">  </w:t>
      </w:r>
      <w:r xmlns:wp="http://schemas.openxmlformats.org/drawingml/2010/wordprocessingDrawing" xmlns:w15="http://schemas.microsoft.com/office/word/2012/wordml">
        <w:rPr>
          <w:rFonts w:ascii="Arial" w:hAnsi="Arial" w:cs="Arial"/>
          <w:sz w:val="22"/>
          <w:szCs w:val="22"/>
        </w:rPr>
        <w:t xml:space="preserve">[PL 2013, c. 369, Pt. A, §6 (RPR).]</w:t>
      </w:r>
    </w:p>
    <w:p>
      <w:pPr>
        <w:jc w:val="both"/>
        <w:spacing w:before="100" w:after="0"/>
        <w:ind w:start="720"/>
      </w:pPr>
      <w:r>
        <w:rPr/>
        <w:t>B</w:t>
        <w:t xml:space="preserve">.  </w:t>
      </w:r>
      <w:r>
        <w:rPr/>
      </w:r>
      <w:r>
        <w:t xml:space="preserve">To compensate public members of the Interagency Review Panel pursuant to </w:t>
      </w:r>
      <w:r>
        <w:t>Title 5, section 12004‑G</w:t>
      </w:r>
      <w:r>
        <w:t xml:space="preserve">, subsection 30-D.</w:t>
      </w:r>
      <w:r>
        <w:t xml:space="preserve">  </w:t>
      </w:r>
      <w:r xmlns:wp="http://schemas.openxmlformats.org/drawingml/2010/wordprocessingDrawing" xmlns:w15="http://schemas.microsoft.com/office/word/2012/wordml">
        <w:rPr>
          <w:rFonts w:ascii="Arial" w:hAnsi="Arial" w:cs="Arial"/>
          <w:sz w:val="22"/>
          <w:szCs w:val="22"/>
        </w:rPr>
        <w:t xml:space="preserve">[PL 2009, c. 655, Pt. B, §4 (NEW).]</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§6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w:t>
      </w:r>
    </w:p>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Purchasing agent rules.</w:t>
        <w:t xml:space="preserve"> </w:t>
      </w:r>
      <w:r>
        <w:t xml:space="preserve"> </w:t>
      </w:r>
      <w:r>
        <w:t xml:space="preserve">Notwithstanding </w:t>
      </w:r>
      <w:r>
        <w:t>Title 5, section 1831</w:t>
      </w:r>
      <w:r>
        <w:t xml:space="preserve">, the trust is not subject to rules adopted by the State Purchasing Agent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w:t>
      </w:r>
    </w:p>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9/30/24)</w:t>
        <w:t xml:space="preserve"> </w:t>
      </w:r>
      <w:r>
        <w:rPr>
          <w:b/>
        </w:rPr>
        <w:t>(TEXT REPEALED 9/30/24)</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2024.</w:t>
      </w:r>
      <w:r>
        <w:t xml:space="preserve">  </w:t>
      </w:r>
      <w:r xmlns:wp="http://schemas.openxmlformats.org/drawingml/2010/wordprocessingDrawing" xmlns:w15="http://schemas.microsoft.com/office/word/2012/wordml">
        <w:rPr>
          <w:rFonts w:ascii="Arial" w:hAnsi="Arial" w:cs="Arial"/>
          <w:sz w:val="22"/>
          <w:szCs w:val="22"/>
        </w:rPr>
        <w:t xml:space="preserve">[PL 2021,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101, §2 (AMD); PL 2021, c. 298,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State Purchasing Agent in selecting service providers pursuant to this subsection.  The board shall adopt rules establishing procedures governing the selection of service providers under this subsection.  The board shall consult with the State Purchasing Agent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w:t>
      </w:r>
    </w:p>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1080" w:hanging="720"/>
      </w:pPr>
      <w:r>
        <w:rPr>
          <w:b/>
        </w:rPr>
        <w:t>(CONTAINS TEXT WITH VARYING EFFECTIVE DATES)</w:t>
      </w:r>
    </w:p>
    <w:p>
      <w:pPr>
        <w:jc w:val="both"/>
        <w:spacing w:before="100" w:after="100"/>
        <w:ind w:start="360"/>
      </w:pPr>
      <w:r>
        <w:rPr>
          <w:b/>
        </w:rPr>
        <w:t>
(WHOLE SECTION TEXT EFFECTIVE UNTIL 6/30/24)</w:t>
      </w:r>
    </w:p>
    <w:p>
      <w:pPr>
        <w:jc w:val="both"/>
        <w:spacing w:before="100" w:after="100"/>
        <w:ind w:start="360"/>
      </w:pPr>
      <w:r>
        <w:rPr>
          <w:b/>
        </w:rPr>
        <w:t>(WHOLE SECTION TEXT REPEALED 6/30/24 by T. 35-A, §10124, sub-§5)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fair" has the same meaning as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B</w:t>
        <w:t xml:space="preserve">.  </w:t>
      </w:r>
      <w:r>
        <w:rPr/>
      </w:r>
      <w:r>
        <w:t xml:space="preserve">"Demand charge" means a charge on an electric bill that is based on the customer's peak demand for electricity.</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C</w:t>
        <w:t xml:space="preserve">.  </w:t>
      </w:r>
      <w:r>
        <w:rPr/>
      </w:r>
      <w:r>
        <w:t xml:space="preserve">"Fund" means the agricultural fair assistance program fund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D</w:t>
        <w:t xml:space="preserve">.  </w:t>
      </w:r>
      <w:r>
        <w:rPr/>
      </w:r>
      <w:r>
        <w:t xml:space="preserve">"Program" means the agricultural fair assistance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trust shall establish and administer an agricultural fair assistance program to help agricultural fairs reduce electricity costs through the most cost‑effective opportunities available.  Under the program, the trust shall:</w:t>
      </w:r>
    </w:p>
    <w:p>
      <w:pPr>
        <w:jc w:val="both"/>
        <w:spacing w:before="100" w:after="0"/>
        <w:ind w:start="720"/>
      </w:pPr>
      <w:r>
        <w:rPr/>
        <w:t>A</w:t>
        <w:t xml:space="preserve">.  </w:t>
      </w:r>
      <w:r>
        <w:rPr/>
      </w:r>
      <w:r>
        <w:t xml:space="preserve">Conduct outreach and provide technical assistance to agricultural fairs to:</w:t>
      </w:r>
    </w:p>
    <w:p>
      <w:pPr>
        <w:jc w:val="both"/>
        <w:spacing w:before="100" w:after="0"/>
        <w:ind w:start="1080"/>
      </w:pPr>
      <w:r>
        <w:rPr/>
        <w:t>(</w:t>
        <w:t>1</w:t>
        <w:t xml:space="preserve">)  </w:t>
      </w:r>
      <w:r>
        <w:rPr/>
      </w:r>
      <w:r>
        <w:t xml:space="preserve">Identify opportunities to reduce electricity costs, including but not limited to opportunities to reduce peak electricity demand; and</w:t>
      </w:r>
    </w:p>
    <w:p>
      <w:pPr>
        <w:jc w:val="both"/>
        <w:spacing w:before="100" w:after="0"/>
        <w:ind w:start="1080"/>
      </w:pPr>
      <w:r>
        <w:rPr/>
        <w:t>(</w:t>
        <w:t>2</w:t>
        <w:t xml:space="preserve">)  </w:t>
      </w:r>
      <w:r>
        <w:rPr/>
      </w:r>
      <w:r>
        <w:t xml:space="preserve">Enroll agricultural fairs in existing programs offered by the trust as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720"/>
      </w:pPr>
      <w:r>
        <w:rPr/>
        <w:t>B</w:t>
        <w:t xml:space="preserve">.  </w:t>
      </w:r>
      <w:r>
        <w:rPr/>
      </w:r>
      <w:r>
        <w:t xml:space="preserve">Offer custom financial incentives to agricultural fairs to implement electric efficiency and conservation measures, including but not limited to measures to reduce peak electricity demand.</w:t>
      </w:r>
      <w:r>
        <w:t xml:space="preserve">  </w:t>
      </w:r>
      <w:r xmlns:wp="http://schemas.openxmlformats.org/drawingml/2010/wordprocessingDrawing" xmlns:w15="http://schemas.microsoft.com/office/word/2012/wordml">
        <w:rPr>
          <w:rFonts w:ascii="Arial" w:hAnsi="Arial" w:cs="Arial"/>
          <w:sz w:val="22"/>
          <w:szCs w:val="22"/>
        </w:rPr>
        <w:t xml:space="preserve">[PL 2019, c. 169, §1 (NEW).]</w:t>
      </w:r>
    </w:p>
    <w:p>
      <w:pPr>
        <w:jc w:val="both"/>
        <w:spacing w:before="100" w:after="0"/>
        <w:ind w:start="360"/>
      </w:pPr>
      <w:r>
        <w:rPr/>
      </w:r>
      <w:r>
        <w:rPr/>
      </w:r>
      <w:r>
        <w:t xml:space="preserve">The program may use a definition of cost‑effective other than the definition adopted by the trust pursuant to </w:t>
      </w:r>
      <w:r>
        <w:t>section 10110,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trust shall establish the agricultural fair assistance program fund as a nonlapsing fund administered by the trust to fund the program.  The commission shall assess each transmission and distribution utility an amount necessary to collect the total amount of demand charges paid by agricultural fairs in the State to transmission and distribution utilities during the prior year.  All amounts collected under this subsection must be transferred to the fund.  Any interest earned on funds in the fund must be credited to the fund.  Funds not spent in any fiscal year remain in the fund to be used by the program.  The assessments charged to transmission and distribution utilities under this subsection are just and reasonable costs for rate‑making purposes.  The commission may issue any appropriate orders to transmission and distribution utilities necessary to achieve the goals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4</w:t>
        <w:t xml:space="preserve">.  </w:t>
      </w:r>
      <w:r>
        <w:rPr>
          <w:b/>
        </w:rPr>
        <w:t xml:space="preserve">Report.</w:t>
        <w:t xml:space="preserve"> </w:t>
      </w:r>
      <w:r>
        <w:t xml:space="preserve"> </w:t>
      </w:r>
      <w:r>
        <w:t xml:space="preserve">No later than January 15, 2022 and January 15, 2024, the trust shall submit a report on the program to the joint standing committee of the Legislature having jurisdiction over energy and utility matters.  The report must include information on program implementation, total deposits into and expenditures from the fund, program activity and reductions in peak electricity demand, energy consumption and electricity costs achieved.  After receiving the report due by January 15, 2024, the committee may report out a bill relating to the program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0"/>
        <w:ind w:start="360"/>
        <w:ind w:firstLine="360"/>
      </w:pPr>
      <w:r>
        <w:rPr>
          <w:b/>
        </w:rPr>
        <w:t>5</w:t>
        <w:t xml:space="preserve">.  </w:t>
      </w:r>
      <w:r>
        <w:rPr>
          <w:b/>
        </w:rPr>
        <w:t xml:space="preserve">Repeal; remaining funds.</w:t>
        <w:t xml:space="preserve"> </w:t>
      </w:r>
      <w:r>
        <w:t xml:space="preserve"> </w:t>
      </w:r>
      <w:r>
        <w:t xml:space="preserve">This section is repealed June 30, 2024.  In the event funds in the fund are not expended or contracted for expenditure as of June 30, 2024, the commission shall ensure that the value of those funds is returned to electricity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w:t>
      </w:r>
    </w:p>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subsection 2.</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Rebate program established; eligibility.</w:t>
        <w:t xml:space="preserve"> </w:t>
      </w:r>
      <w:r>
        <w:t xml:space="preserve"> </w:t>
      </w:r>
      <w:r>
        <w:t xml:space="preserve">In accordance with the provisions of this section, the trust shall establish and administer a program that provides rebates for the purchase or lease of electric vehicles.  A person may apply for and, as resources within the fund allow, receive a rebate for an electric vehicle, subject to eligibility requirements established by the trust.  Eligibility criteria for the vehicle must include that the vehicle is: a battery electric vehicle or a plug-in hybrid electric vehicle; purchased, or leased from its original equipment manufacturer or an authorized licensee of the original equipment manufacturer or a licensed automobile dealer for a term of 36 months or more, in the State; and, to the extent required by </w:t>
      </w:r>
      <w:r>
        <w:t>Title 29‑A, chapter 5</w:t>
      </w:r>
      <w:r>
        <w:t xml:space="preserve">, registered in the State. An automobile, as defined in </w:t>
      </w:r>
      <w:r>
        <w:t>Title 29‑A, section 101, subsection 7</w:t>
      </w:r>
      <w:r>
        <w:t xml:space="preserve">, with a gross vehicle weight rating of 6,000 pounds or less is not eligible for the program if it has a manufacturer's suggested retail price greater than $50,000.  To the extent funds are available, the trust may extend program eligibility to medium duty vehicles and heavy duty vehicles that are battery electric vehicles or plug-in hybrid electric vehicles and to electric bicycles.  Eligibility requirements for the recipient of the rebate must include that the recipient attests to a commitment to retain ownership, whether through purchase or lease, of the eligible electric vehicle for at least 36 months from the date of purchase or lease.  The trust may require a recipient of a rebate under this section who does not retain ownership of the eligible electric vehicle for at least 36 months to repay the trust up to the full amount of the rebate. If the trust extends program eligibility to electric bicycles, the trust shall limit the electric bicycle rebates to recipients who are low-income and moderate-income individuals and to entities that serve those individuals, as determined by the trust. For a recipient to receive a rebate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rebate amount for each eligible electric vehicle. The trust shall establish rebate amounts that it determines most effectively increase the purchase of eligible electric vehicles to advance the State's carbon reduction targets and reduce transportation-related energy costs.  For each model of an eligible electric vehicle, the trust may establish different rebate amounts based on the size of the vehicle battery.  The trust may establish different rebate amounts for the purpose of providing reasonable opportunity for participation in the program across different customer groups and geographic areas.  The trust may establish reasonable limits on the number of rebates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§2 (AMD).]</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rebates included in the program.  The trust shall develop and make available at its offices and on its publicly accessible website all forms and other documents necessary for a person to apply for and receive a direct rebate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w:t>
      </w:r>
    </w:p>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EFFICIENCY MAINE TRUST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EFFICIENCY MAINE TRUST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97. EFFICIENCY MAINE TRUST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