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94-A</w:t>
      </w:r>
    </w:p>
    <w:p>
      <w:pPr>
        <w:jc w:val="center"/>
        <w:ind w:start="360"/>
        <w:spacing w:before="300" w:after="300"/>
      </w:pPr>
      <w:r>
        <w:rPr>
          <w:b/>
        </w:rPr>
        <w:t xml:space="preserve">CONNECTIVITY INFRASTRUCTURE</w:t>
      </w:r>
    </w:p>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Connectivity Infrastructure Act."</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 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wireless service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Connectivity Authority established in </w:t>
      </w:r>
      <w:r>
        <w:t>section 9404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debts,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Communications service.</w:t>
        <w:t xml:space="preserve"> </w:t>
      </w:r>
      <w:r>
        <w:t xml:space="preserve"> </w:t>
      </w:r>
      <w:r>
        <w:t xml:space="preserve">"Communications service" means any wireline voice, satellite, data, fixed wireless data or video retail service or cellular voice or data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Project.</w:t>
        <w:t xml:space="preserve"> </w:t>
      </w:r>
      <w:r>
        <w:t xml:space="preserve"> </w:t>
      </w:r>
      <w:r>
        <w:t xml:space="preserve">"Project" means real property, personal property, equipment, fixtures, materials, wires, cables, labor and other improvements necessary and proper for the provision of advanced communications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9403</w:t>
        <w:t xml:space="preserve">.  </w:t>
      </w:r>
      <w:r>
        <w:rPr>
          <w:b/>
        </w:rPr>
        <w:t xml:space="preserve">State connectivity goals</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connectivity are that:</w:t>
      </w:r>
    </w:p>
    <w:p>
      <w:pPr>
        <w:jc w:val="both"/>
        <w:spacing w:before="100" w:after="0"/>
        <w:ind w:start="720"/>
      </w:pPr>
      <w:r>
        <w:rPr/>
        <w:t>A</w:t>
        <w:t xml:space="preserve">.  </w:t>
      </w:r>
      <w:r>
        <w:rPr/>
      </w:r>
      <w:r>
        <w:t xml:space="preserve">High-speed connectivity be universally available in the State, including to all residents, businesses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There be secure, affordable, reliable, competitive and sustainable forward-looking advanced communications technology infrastructure that can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All residents, businesses and institutions in the State be able to take full advantage of the economic, health, educational and other opportunities available through connectivity services;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Existing public and private infrastructure be used effectively and efficiently in the public interest to provide advanced communications technology infrastructure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9404</w:t>
        <w:t xml:space="preserve">.  </w:t>
      </w:r>
      <w:r>
        <w:rPr>
          <w:b/>
        </w:rPr>
        <w:t xml:space="preserve">Maine Connectivity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Connectivity Authority is established as a body corporate and politic and a public instrumentality of the State, and the exercise by the authority of the powers conferred by this chapter is deemed and held to be the performance of essential governmental functions.  The authority consists of the following members:</w:t>
      </w:r>
    </w:p>
    <w:p>
      <w:pPr>
        <w:jc w:val="both"/>
        <w:spacing w:before="100" w:after="0"/>
        <w:ind w:start="720"/>
      </w:pPr>
      <w:r>
        <w:rPr/>
        <w:t>A</w:t>
        <w:t xml:space="preserve">.  </w:t>
      </w:r>
      <w:r>
        <w:rPr/>
      </w:r>
      <w:r>
        <w:t xml:space="preserve">Seven voting members appointed by the Governor and confirmed by the Legislature as follows:</w:t>
      </w:r>
    </w:p>
    <w:p>
      <w:pPr>
        <w:jc w:val="both"/>
        <w:spacing w:before="100" w:after="0"/>
        <w:ind w:start="1080"/>
      </w:pPr>
      <w:r>
        <w:rPr/>
        <w:t>(</w:t>
        <w:t>1</w:t>
        <w:t xml:space="preserve">)  </w:t>
      </w:r>
      <w:r>
        <w:rPr/>
      </w:r>
      <w:r>
        <w:t xml:space="preserve">Three members who possess expertise in advanced communications technology infrastructure or communications service, including, but not limited to, expertise in network design, network operations and middle mile infrastructure;</w:t>
      </w:r>
    </w:p>
    <w:p>
      <w:pPr>
        <w:jc w:val="both"/>
        <w:spacing w:before="100" w:after="0"/>
        <w:ind w:start="1080"/>
      </w:pPr>
      <w:r>
        <w:rPr/>
        <w:t>(</w:t>
        <w:t>2</w:t>
        <w:t xml:space="preserve">)  </w:t>
      </w:r>
      <w:r>
        <w:rPr/>
      </w:r>
      <w:r>
        <w:t xml:space="preserve">One member representing communities in the State;</w:t>
      </w:r>
    </w:p>
    <w:p>
      <w:pPr>
        <w:jc w:val="both"/>
        <w:spacing w:before="100" w:after="0"/>
        <w:ind w:start="1080"/>
      </w:pPr>
      <w:r>
        <w:rPr/>
        <w:t>(</w:t>
        <w:t>3</w:t>
        <w:t xml:space="preserve">)  </w:t>
      </w:r>
      <w:r>
        <w:rPr/>
      </w:r>
      <w:r>
        <w:t xml:space="preserve">One member who possesses expertise in banking or financial lending, including, but not limited to, expertise in the provision of loans or other capital investments for infrastructure deployment in the State;</w:t>
      </w:r>
    </w:p>
    <w:p>
      <w:pPr>
        <w:jc w:val="both"/>
        <w:spacing w:before="100" w:after="0"/>
        <w:ind w:start="1080"/>
      </w:pPr>
      <w:r>
        <w:rPr/>
        <w:t>(</w:t>
        <w:t>4</w:t>
        <w:t xml:space="preserve">)  </w:t>
      </w:r>
      <w:r>
        <w:rPr/>
      </w:r>
      <w:r>
        <w:t xml:space="preserve">One member who possesses expertise in education system needs; and</w:t>
      </w:r>
    </w:p>
    <w:p>
      <w:pPr>
        <w:jc w:val="both"/>
        <w:spacing w:before="100" w:after="0"/>
        <w:ind w:start="1080"/>
      </w:pPr>
      <w:r>
        <w:rPr/>
        <w:t>(</w:t>
        <w:t>5</w:t>
        <w:t xml:space="preserve">)  </w:t>
      </w:r>
      <w:r>
        <w:rPr/>
      </w:r>
      <w:r>
        <w:t xml:space="preserve">One member who possesses expertise in telehealth delivery and telehealth system needs;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Four ex officio voting members as follows:</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Chancellor of the University of Maine System or the chancellor's designee;</w:t>
      </w:r>
    </w:p>
    <w:p>
      <w:pPr>
        <w:jc w:val="both"/>
        <w:spacing w:before="100" w:after="0"/>
        <w:ind w:start="1080"/>
      </w:pPr>
      <w:r>
        <w:rPr/>
        <w:t>(</w:t>
        <w:t>3</w:t>
        <w:t xml:space="preserve">)  </w:t>
      </w:r>
      <w:r>
        <w:rPr/>
      </w:r>
      <w:r>
        <w:t xml:space="preserve">The Chief Executive Officer of the Finance Authority of Maine or the officer's designee; and</w:t>
      </w:r>
    </w:p>
    <w:p>
      <w:pPr>
        <w:jc w:val="both"/>
        <w:spacing w:before="100" w:after="0"/>
        <w:ind w:start="1080"/>
      </w:pPr>
      <w:r>
        <w:rPr/>
        <w:t>(</w:t>
        <w:t>4</w:t>
        <w:t xml:space="preserve">)  </w:t>
      </w:r>
      <w:r>
        <w:rPr/>
      </w:r>
      <w:r>
        <w:t xml:space="preserve">The Chief Information Officer within the Department of Administrative and Financial Services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Terms; reappointments; vacancies; chair.</w:t>
        <w:t xml:space="preserve"> </w:t>
      </w:r>
      <w:r>
        <w:t xml:space="preserve"> </w:t>
      </w:r>
      <w:r>
        <w:t xml:space="preserve">Members appointed by the Governor serve 3-year terms, except that 2 such members first appointed serve a one-year term, 2 such members first appointed serve a 2-year term and 3 such members first appointed serve a 3-year term.  Members appointed by the Governor are eligible for reappointment.  If a member appointed by the Governor fails to serve until the expiration of the member's term, the Governor may appoint a replacement member for the remainder of that member's term.  The Governor shall appoint one member to serve as chair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President.</w:t>
        <w:t xml:space="preserve"> </w:t>
      </w:r>
      <w:r>
        <w:t xml:space="preserve"> </w:t>
      </w:r>
      <w:r>
        <w:t xml:space="preserve">Upon the recommendation of the authority, the Governor shall appoint a president of the authority subject to confirmation by the Legislature.  The president serves a 4-year term and is eligible for reappointment.  The president shall manage the authority's programs, services and staff and shall perform other duties the authority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Officers; quorum.</w:t>
        <w:t xml:space="preserve"> </w:t>
      </w:r>
      <w:r>
        <w:t xml:space="preserve"> </w:t>
      </w:r>
      <w:r>
        <w:t xml:space="preserve">The authority may elect a secretary and a treasurer, who may but need not be members of the authority.  Six members of the authority constitute a quorum, and the affirmative vote of 6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Remote participation by members.</w:t>
        <w:t xml:space="preserve"> </w:t>
      </w:r>
      <w:r>
        <w:t xml:space="preserve"> </w:t>
      </w:r>
      <w:r>
        <w:t xml:space="preserve">A member of the authority may participate in a meeting of the authority and place a vote electronically or telephonically as long as members of the public have an opportunity to listen to the deliberations and otherwise participate in or observe the proceedings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Members not personally liable; indemnification.</w:t>
        <w:t xml:space="preserve"> </w:t>
      </w:r>
      <w:r>
        <w:t xml:space="preserve"> </w:t>
      </w:r>
      <w:r>
        <w:t xml:space="preserve">A member of the authority, while acting within the scope of this chapter, is not subject to any personal liability resulting from the exercise or carrying out of any of the authority's purposes or powers.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9405</w:t>
        <w:t xml:space="preserve">.  </w:t>
      </w:r>
      <w:r>
        <w:rPr>
          <w:b/>
        </w:rPr>
        <w:t xml:space="preserve">Powers and duties of authority</w:t>
      </w:r>
    </w:p>
    <w:p>
      <w:pPr>
        <w:jc w:val="both"/>
        <w:spacing w:before="100" w:after="100"/>
        <w:ind w:start="360"/>
        <w:ind w:firstLine="360"/>
      </w:pPr>
      <w:r>
        <w:rPr/>
      </w:r>
      <w:r>
        <w:rPr/>
      </w:r>
      <w:r>
        <w:t xml:space="preserve">To carry out the purposes of this chapter, the authority has the following powers with respect to a project together with all powers incidental to or necessary or proper for the performance of these powers and for carrying out its responsibilities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to the extent permitted by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upon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equipping of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any project, equipment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10</w:t>
        <w:t xml:space="preserve">.  </w:t>
      </w:r>
      <w:r>
        <w:rPr>
          <w:b/>
        </w:rPr>
        <w:t xml:space="preserve">Incur indebtedness.</w:t>
        <w:t xml:space="preserve"> </w:t>
      </w:r>
      <w:r>
        <w:t xml:space="preserve"> </w:t>
      </w:r>
      <w:r>
        <w:t xml:space="preserve">To borrow money for any of the purposes authorized in this chapter, incur debt, which includes the issuance of bonds consistent with </w:t>
      </w:r>
      <w:r>
        <w:t>section 9406</w:t>
      </w:r>
      <w:r>
        <w:t xml:space="preserve">, whether secured or unsecured and whether issued by the authority or through another entity, including, but not limited to, the Maine Municipal Bond Bank, and secure the same by mortgage, pledge, trust agreement, security agreement or other lien on or security interest in the authority's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11</w:t>
        <w:t xml:space="preserve">.  </w:t>
      </w:r>
      <w:r>
        <w:rPr>
          <w:b/>
        </w:rPr>
        <w:t xml:space="preserve">Equity investments; loans, grants, contractual arrangements.</w:t>
        <w:t xml:space="preserve"> </w:t>
      </w:r>
      <w:r>
        <w:t xml:space="preserve"> </w:t>
      </w:r>
      <w:r>
        <w:t xml:space="preserve">To make alone or in participation or cooperation with others direct equity investments, loans, grants or any other contractual arrangement allowed by law with public or private entities in furtherance of the purposes of this chapter, including, but not limited to, the development and financing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12</w:t>
        <w:t xml:space="preserve">.  </w:t>
      </w:r>
      <w:r>
        <w:rPr>
          <w:b/>
        </w:rPr>
        <w:t xml:space="preserve">Make and execute contracts.</w:t>
        <w:t xml:space="preserve"> </w:t>
      </w:r>
      <w:r>
        <w:t xml:space="preserve"> </w:t>
      </w:r>
      <w:r>
        <w:t xml:space="preserve">To make and execute contracts and other instruments and enter into such transactions as reasonably necessary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13</w:t>
        <w:t xml:space="preserve">.  </w:t>
      </w:r>
      <w:r>
        <w:rPr>
          <w:b/>
        </w:rPr>
        <w:t xml:space="preserve">Agreements; contributions; aid; grants.</w:t>
        <w:t xml:space="preserve"> </w:t>
      </w:r>
      <w:r>
        <w:t xml:space="preserve"> </w:t>
      </w:r>
      <w:r>
        <w:t xml:space="preserve">To enter into agreements with and to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agreements,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14</w:t>
        <w:t xml:space="preserve">.  </w:t>
      </w:r>
      <w:r>
        <w:rPr>
          <w:b/>
        </w:rPr>
        <w:t xml:space="preserve">Acceptance of federal funds and other assistance.</w:t>
        <w:t xml:space="preserve"> </w:t>
      </w:r>
      <w:r>
        <w:t xml:space="preserve"> </w:t>
      </w:r>
      <w:r>
        <w:t xml:space="preserve">To act as the public agency of the State for the purpose of accepting federal funds or other federal assistance or funds or other assistance from any other source in furtherance of the purposes of this chapter, including, but not limited to, the development and financing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15</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16</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17</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or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19</w:t>
        <w:t xml:space="preserve">.  </w:t>
      </w:r>
      <w:r>
        <w:rPr>
          <w:b/>
        </w:rPr>
        <w:t xml:space="preserve">Use of revenues.</w:t>
        <w:t xml:space="preserve"> </w:t>
      </w:r>
      <w:r>
        <w:t xml:space="preserve"> </w:t>
      </w:r>
      <w:r>
        <w:t xml:space="preserve">To use only for the purposes of this chapter any revenues derived by the authority from any assessment, transfer of funds, lease, assignment, rental agreement or other disposition or any other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20</w:t>
        <w:t xml:space="preserve">.  </w:t>
      </w:r>
      <w:r>
        <w:rPr>
          <w:b/>
        </w:rPr>
        <w:t xml:space="preserve">Appearances.</w:t>
        <w:t xml:space="preserve"> </w:t>
      </w:r>
      <w:r>
        <w:t xml:space="preserve"> </w:t>
      </w:r>
      <w:r>
        <w:t xml:space="preserve">To appear on the authority's own behalf before boards, commissions, departments or agencies of a municipality, the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21</w:t>
        <w:t xml:space="preserve">.  </w:t>
      </w:r>
      <w:r>
        <w:rPr>
          <w:b/>
        </w:rPr>
        <w:t xml:space="preserve">Employees.</w:t>
        <w:t xml:space="preserve"> </w:t>
      </w:r>
      <w:r>
        <w:t xml:space="preserve"> </w:t>
      </w:r>
      <w:r>
        <w:t xml:space="preserve">To hire and compensate employees as well as consulting engineers, architects, attorneys, accountants and construction and financial experts and such other individuals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22</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9406</w:t>
        <w:t xml:space="preserve">.  </w:t>
      </w:r>
      <w:r>
        <w:rPr>
          <w:b/>
        </w:rPr>
        <w:t xml:space="preserve">Issuance of bonds</w:t>
      </w:r>
    </w:p>
    <w:p>
      <w:pPr>
        <w:jc w:val="both"/>
        <w:spacing w:before="100" w:after="0"/>
        <w:ind w:start="360"/>
        <w:ind w:firstLine="360"/>
      </w:pPr>
      <w:r>
        <w:rPr>
          <w:b/>
        </w:rPr>
        <w:t>1</w:t>
        <w:t xml:space="preserve">.  </w:t>
      </w:r>
      <w:r>
        <w:rPr>
          <w:b/>
        </w:rPr>
        <w:t xml:space="preserve">Conclusive authorization.</w:t>
        <w:t xml:space="preserve"> </w:t>
      </w:r>
      <w:r>
        <w:t xml:space="preserve"> </w:t>
      </w:r>
      <w:r>
        <w:t xml:space="preserve">All bonds of the authority must be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Maturity; interest.</w:t>
        <w:t xml:space="preserve"> </w:t>
      </w:r>
      <w:r>
        <w:t xml:space="preserve"> </w:t>
      </w:r>
      <w:r>
        <w:t xml:space="preserve">The securities of each issue of bonds must be dated, must mature at a time or times not exceeding 30 years from their date and must bear interest at a rate or rates determined by the authority. At the option of the authority, the bonds may be made redeemable before maturity at a price or prices and under terms and conditions fixed prior to their issuance.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Form.</w:t>
        <w:t xml:space="preserve"> </w:t>
      </w:r>
      <w:r>
        <w:t xml:space="preserve"> </w:t>
      </w:r>
      <w:r>
        <w:t xml:space="preserve">The authority shall determine the form of the bonds, including any attached interest coupons, the manner of execution of the bonds, the denomination or denominations of the bonds and the place or places for payment of principal and interest, which may be at any financial institution within or without the State.  Bonds must be executed in the name of the authority by the manual or facsimile signature of the authorized official or officials.  Signatures and facsimiles of signatures on bonds are valid for all purposes even if the authorized official ceases to hold office before delivery of the bonds.  The bonds may be issued in coupon or registered form or both as the authority may determine.  In addition to this subsection, the authority may provide for transfer of registration of its registered bonds by book entry on the records of the entity designated for that purpose and may enter into such contractual arrangements as may be necessary to accomplish these purposes.  In the event a book entry method of transfer is used, principal of and interest on those registered bonds must be payable to the registered owner shown in the book entry or the legal representatives, successors or transferees of the registered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Sale.</w:t>
        <w:t xml:space="preserve"> </w:t>
      </w:r>
      <w:r>
        <w:t xml:space="preserve"> </w:t>
      </w:r>
      <w:r>
        <w:t xml:space="preserve">The authority may sell the bonds at a public or private sale, in a manner and at a price it determines is in the best interest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Credit not pledged.</w:t>
        <w:t xml:space="preserve"> </w:t>
      </w:r>
      <w:r>
        <w:t xml:space="preserve"> </w:t>
      </w:r>
      <w:r>
        <w:t xml:space="preserve">Bonds of the authority do not constitute any debt or liability of the State or of any municipality in the State or any political subdivision of the State,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bonds and all such bonds must contain on their face a statement to that effect.  The issuance of the bonds does not directly or indirectly or contingently obligate the State or any municipality or political subdivision to levy or to pledge any form of taxation or to make any appropriation for their payment.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Anticipatory borrowing.</w:t>
        <w:t xml:space="preserve"> </w:t>
      </w:r>
      <w:r>
        <w:t xml:space="preserve"> </w:t>
      </w:r>
      <w:r>
        <w:t xml:space="preserve">In anticipation of the sale of bonds, the authority may issue temporary notes and renewal notes, the total stated amount of which does not exceed at any one time outstanding the authorized amount of the bonds.  The period of such anticipatory borrowing may not exceed 5 years and the time within which the bonds are to become due may not be extended by the anticipatory borrowing beyond the term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9407</w:t>
        <w:t xml:space="preserve">.  </w:t>
      </w:r>
      <w:r>
        <w:rPr>
          <w:b/>
        </w:rPr>
        <w:t xml:space="preserve">Tax exemptions; taxable bonds</w:t>
      </w:r>
    </w:p>
    <w:p>
      <w:pPr>
        <w:jc w:val="both"/>
        <w:spacing w:before="100" w:after="0"/>
        <w:ind w:start="360"/>
        <w:ind w:firstLine="360"/>
      </w:pPr>
      <w:r>
        <w:rPr>
          <w:b/>
        </w:rPr>
        <w:t>1</w:t>
        <w:t xml:space="preserve">.  </w:t>
      </w:r>
      <w:r>
        <w:rPr>
          <w:b/>
        </w:rPr>
        <w:t xml:space="preserve">Bonds exempt from taxation.</w:t>
        <w:t xml:space="preserve"> </w:t>
      </w:r>
      <w:r>
        <w:t xml:space="preserve"> </w:t>
      </w:r>
      <w:r>
        <w:t xml:space="preserve">Bonds of the authority constitute a proper public purpose and the bonds, their transfer and the income from them, including any profits made on their sale, must at all times be exempt from taxation within the State, whether or not those bonds, their transfer or the income from them, including any profits made on their sale, are subject to taxation under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Conveyances, leases, mortgages, deeds of trust and trust indentures exempt from taxation.</w:t>
        <w:t xml:space="preserve"> </w:t>
      </w:r>
      <w:r>
        <w:t xml:space="preserve"> </w:t>
      </w:r>
      <w:r>
        <w:t xml:space="preserve">Conveyances by or to the authority and leases, mortgages and deeds of trust or trust indentures by or to the authority are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Property exempt from taxation and other assessments.</w:t>
        <w:t xml:space="preserve"> </w:t>
      </w:r>
      <w:r>
        <w:t xml:space="preserve"> </w:t>
      </w:r>
      <w:r>
        <w:t xml:space="preserve">Property acquired, held or transferred by the authority is exempt from all taxes and from betterments and special assessments of the city, town, county, State or any political subdivision of the State.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Taxable bonds.</w:t>
        <w:t xml:space="preserve"> </w:t>
      </w:r>
      <w:r>
        <w:t xml:space="preserve"> </w:t>
      </w:r>
      <w:r>
        <w:t xml:space="preserve">The authority is authorized to agree and consent to the inclusion of interest on any of its bonds, under the United States Internal Revenue Code of 1986 or any subsequent corresponding internal revenue law of the United States, in the gross income of the holders of any such bonds to the same extent and in the same manner that the interest on bills, bonds, notes or other obligations of the United States is includable in the gross income of the holders of such bills, bonds, notes or other obligations under the United States Internal Revenue Code of 1986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9408</w:t>
        <w:t xml:space="preserve">.  </w:t>
      </w:r>
      <w:r>
        <w:rPr>
          <w:b/>
        </w:rPr>
        <w:t xml:space="preserve">Collection of data</w:t>
      </w:r>
    </w:p>
    <w:p>
      <w:pPr>
        <w:jc w:val="both"/>
        <w:spacing w:before="100" w:after="100"/>
        <w:ind w:start="360"/>
        <w:ind w:firstLine="360"/>
      </w:pPr>
      <w:r>
        <w:rPr/>
      </w:r>
      <w:r>
        <w:rPr/>
      </w:r>
      <w:r>
        <w:t xml:space="preserve">Subject to the provisions of this section, the authority may collect data from communications service providers and any wireless providers that own or operate advanced communications technology infrastructure in the State concerning infrastructure deployment and costs, revenues and subscribership.</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If the authority, on its own or upon request of any person or entity, determines that public access to specific information about communications service providers or wireless providers in the State could compromise the security of public utility systems to the detriment of the public interest or that specific information is of a competitive or proprietary nature, the authority shall issue an order that sets forth its designation of the information as confidential.  Information that may be designated as confidential pursuant to this subsection includes, but is not limited to, network diagrams.  The authority may designate information as confidential under this subsection only to the minimum extent necessary to protect the public interest and the legitimate competitive or proprietary interests of a communications service provider or a wireless provider.  The authority may not designate any information as confidential under this subsection until it has adopted rules to implement this subsection.</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or a wireless provider may request that information provided to the authority that the provider requests be designated as confidential under </w:t>
      </w:r>
      <w:r>
        <w:t>subsection 1</w:t>
      </w:r>
      <w:r>
        <w:t xml:space="preserve">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9409</w:t>
        <w:t xml:space="preserve">.  </w:t>
      </w:r>
      <w:r>
        <w:rPr>
          <w:b/>
        </w:rPr>
        <w:t xml:space="preserve">Legislative oversight; report to committee</w:t>
      </w:r>
    </w:p>
    <w:p>
      <w:pPr>
        <w:jc w:val="both"/>
        <w:spacing w:before="100" w:after="100"/>
        <w:ind w:start="360"/>
        <w:ind w:firstLine="360"/>
      </w:pPr>
      <w:r>
        <w:rPr>
          <w:b/>
        </w:rPr>
        <w:t>1</w:t>
        <w:t xml:space="preserve">.  </w:t>
      </w:r>
      <w:r>
        <w:rPr>
          <w:b/>
        </w:rPr>
        <w:t xml:space="preserve">Annual report.</w:t>
        <w:t xml:space="preserve"> </w:t>
      </w:r>
      <w:r>
        <w:t xml:space="preserve"> </w:t>
      </w:r>
      <w:r>
        <w:t xml:space="preserve">No later than January 15, 2022, and annually thereafter, the authority shall provide a report to the joint standing committee of the Legislature having jurisdiction over utilities matters that:</w:t>
      </w:r>
    </w:p>
    <w:p>
      <w:pPr>
        <w:jc w:val="both"/>
        <w:spacing w:before="100" w:after="0"/>
        <w:ind w:start="720"/>
      </w:pPr>
      <w:r>
        <w:rPr/>
        <w:t>A</w:t>
        <w:t xml:space="preserve">.  </w:t>
      </w:r>
      <w:r>
        <w:rPr/>
      </w:r>
      <w:r>
        <w:t xml:space="preserve">Includes a report on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Documents the activities of the authority, including a detailed description of the progress toward the state connectivity goals in </w:t>
      </w:r>
      <w:r>
        <w:t>section 9403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Contains a listing of any investments of money in the authority, while maintaining confidentiality for organizations working with the authority;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b/>
        </w:rPr>
        <w:t>2</w:t>
        <w:t xml:space="preserve">.  </w:t>
      </w:r>
      <w:r>
        <w:rPr>
          <w:b/>
        </w:rPr>
        <w:t xml:space="preserve">Sunset review.</w:t>
        <w:t xml:space="preserve"> </w:t>
      </w:r>
      <w:r>
        <w:t xml:space="preserve"> </w:t>
      </w:r>
      <w:r>
        <w:t xml:space="preserve">As part of the report required under </w:t>
      </w:r>
      <w:r>
        <w:t>subsection 1</w:t>
      </w:r>
      <w:r>
        <w:t xml:space="preserve"> to be submitted to the joint standing committee of the Legislature having jurisdiction over utilities matters no later than January 15, 2030, the authority shall include findings and recommendations following its review of the effectiveness of the authority in furthering the purposes of this chapter, including:</w:t>
      </w:r>
    </w:p>
    <w:p>
      <w:pPr>
        <w:jc w:val="both"/>
        <w:spacing w:before="100" w:after="0"/>
        <w:ind w:start="720"/>
      </w:pPr>
      <w:r>
        <w:rPr/>
        <w:t>A</w:t>
        <w:t xml:space="preserve">.  </w:t>
      </w:r>
      <w:r>
        <w:rPr/>
      </w:r>
      <w:r>
        <w:t xml:space="preserve">An analysis of whether the authority has fulfilled its intended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An analysis of whether the activities of the authority should continue for a specified period of time and any recommendations, including proposed legislation, for changes to the powers and duties of the authority to better further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An analysis of whether the activities of the authority should be terminated and the laws governing the authority repealed within a specified time frame and any recommendations, including proposed legislation, necessary to facilitate an orderly transition following the termination of activities of the authority, including the appropriate disposition of the assets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9410</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must be liberally construed.  In the event of any conflict between this chapter and any other law, this chapter prevails,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94-A. CONNECTIVITY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94-A. CONNECTIVITY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94-A. CONNECTIVITY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