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NUCLEAR POWER GENERATING FACILITIES</w:t>
      </w:r>
    </w:p>
    <w:p>
      <w:pPr>
        <w:jc w:val="center"/>
        <w:ind w:start="360"/>
        <w:spacing w:before="300" w:after="300"/>
      </w:pPr>
      <w:r>
        <w:rPr>
          <w:b/>
        </w:rPr>
        <w:t>SUBCHAPTER</w:t>
        <w:t xml:space="preserve"> </w:t>
        <w:t>1</w:t>
      </w:r>
    </w:p>
    <w:p>
      <w:pPr>
        <w:jc w:val="center"/>
        <w:ind w:start="360"/>
        <w:spacing w:before="300" w:after="300"/>
      </w:pPr>
      <w:r>
        <w:rPr>
          <w:b/>
        </w:rPr>
        <w:t xml:space="preserve">CONSTRUCTION</w:t>
      </w:r>
    </w:p>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jc w:val="center"/>
        <w:ind w:start="360"/>
        <w:spacing w:before="300" w:after="300"/>
      </w:pPr>
      <w:r>
        <w:rPr>
          <w:b/>
        </w:rPr>
        <w:t>SUBCHAPTER</w:t>
        <w:t xml:space="preserve"> </w:t>
        <w:t>2</w:t>
      </w:r>
    </w:p>
    <w:p>
      <w:pPr>
        <w:jc w:val="center"/>
        <w:ind w:start="360"/>
        <w:spacing w:before="300" w:after="300"/>
      </w:pPr>
      <w:r>
        <w:rPr>
          <w:b/>
        </w:rPr>
        <w:t xml:space="preserve">EMISSIONS AND SAFETY REPORTING</w:t>
      </w:r>
    </w:p>
    <w:p>
      <w:pPr>
        <w:jc w:val="center"/>
        <w:ind w:start="360"/>
        <w:spacing w:before="300" w:after="300"/>
      </w:pPr>
      <w:r>
        <w:rPr>
          <w:b/>
        </w:rPr>
        <w:t>(REPEALED)</w:t>
      </w:r>
    </w:p>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SPENT FUEL AND HIGH-LEVEL WASTE REQUIREMENTS</w:t>
      </w:r>
    </w:p>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5</w:t>
      </w:r>
    </w:p>
    <w:p>
      <w:pPr>
        <w:jc w:val="center"/>
        <w:ind w:start="360"/>
        <w:spacing w:before="300" w:after="300"/>
      </w:pPr>
      <w:r>
        <w:rPr>
          <w:b/>
        </w:rPr>
        <w:t xml:space="preserve">SPENT FUEL DISPOSAL TRUST FUND</w:t>
      </w:r>
    </w:p>
    <w:p>
      <w:pPr>
        <w:jc w:val="center"/>
        <w:ind w:start="360"/>
        <w:spacing w:before="300" w:after="300"/>
      </w:pPr>
      <w:r>
        <w:rPr>
          <w:b/>
        </w:rPr>
        <w:t>(REPEALED)</w:t>
      </w:r>
    </w:p>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jc w:val="center"/>
        <w:ind w:start="360"/>
        <w:spacing w:before="300" w:after="300"/>
      </w:pPr>
      <w:r>
        <w:rPr>
          <w:b/>
        </w:rPr>
        <w:t>SUBCHAPTER</w:t>
        <w:t xml:space="preserve"> </w:t>
        <w:t>6</w:t>
      </w:r>
    </w:p>
    <w:p>
      <w:pPr>
        <w:jc w:val="center"/>
        <w:ind w:start="360"/>
        <w:spacing w:before="300" w:after="300"/>
      </w:pPr>
      <w:r>
        <w:rPr>
          <w:b/>
        </w:rPr>
        <w:t xml:space="preserve">POST-DECOMMISSIONING OVERSIGHT FEES</w:t>
      </w:r>
    </w:p>
    <w:p>
      <w:pPr>
        <w:jc w:val="center"/>
        <w:ind w:start="360"/>
        <w:spacing w:before="300" w:after="300"/>
      </w:pPr>
      <w:r>
        <w:rPr>
          <w:b/>
        </w:rPr>
        <w:t>(REPEALED)</w:t>
      </w:r>
    </w:p>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43.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