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THE MAINE SOLAR ENERGY ACT</w:t>
      </w:r>
    </w:p>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 and</w:t>
      </w:r>
    </w:p>
    <w:p>
      <w:pPr>
        <w:jc w:val="both"/>
        <w:spacing w:before="100" w:after="0"/>
        <w:ind w:start="1080"/>
      </w:pPr>
      <w:r>
        <w:rPr/>
        <w:t>(</w:t>
        <w:t>5</w:t>
        <w:t xml:space="preserve">)  </w:t>
      </w:r>
      <w:r>
        <w:rPr/>
      </w:r>
      <w:r>
        <w:t xml:space="preserve">Preparing reports that detail the number, type, resolution timeline and outcome of interconnection disputes.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funding the interconnection ombudsman. The commission shall deposit all fees collected under this subsection into the fund and all money in the fund must be used to fully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34-B. THE MAINE SOLAR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