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10314</w:t>
        <w:t xml:space="preserve">.  </w:t>
      </w:r>
      <w:r>
        <w:rPr>
          <w:b/>
        </w:rPr>
        <w:t xml:space="preserve">Maine Home Energy Navigator and Coaching Resource Hub</w:t>
      </w:r>
    </w:p>
    <w:p>
      <w:pPr>
        <w:jc w:val="both"/>
        <w:spacing w:before="100" w:after="100"/>
        <w:ind w:start="360"/>
        <w:ind w:firstLine="360"/>
      </w:pPr>
      <w:r>
        <w:rPr/>
      </w:r>
      <w:r>
        <w:rPr/>
      </w:r>
      <w:r>
        <w:t xml:space="preserve">The Maine Home Energy Navigator and Coaching Resource Hub, referred to in this section as "the resource hub," is established within the department to promote community-based energy coaching services to residential consumers that provide guidance, particularly to those in low-income, rural and underserved communities, to understand and navigate energy efficiency and clean energy investment options to affordably meet their home energy needs. Through the resource hub, the department shall make available standardized training curricula and program materials that may be used by communities to implement their own energy coaching programs. The department, as funding allows, shall administer the resource hub.</w:t>
      </w:r>
      <w:r>
        <w:t xml:space="preserve">  </w:t>
      </w:r>
      <w:r xmlns:wp="http://schemas.openxmlformats.org/drawingml/2010/wordprocessingDrawing" xmlns:w15="http://schemas.microsoft.com/office/word/2012/wordml">
        <w:rPr>
          <w:rFonts w:ascii="Arial" w:hAnsi="Arial" w:cs="Arial"/>
          <w:sz w:val="22"/>
          <w:szCs w:val="22"/>
        </w:rPr>
        <w:t xml:space="preserve">[PL 2025, c. 703,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703,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§10314. Maine Home Energy Navigator and Coaching Resource Hub</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§10314. Maine Home Energy Navigator and Coaching Resource Hub</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§10314. MAINE HOME ENERGY NAVIGATOR AND COACHING RESOURCE HUB</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