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10161</w:t>
        <w:t xml:space="preserve">.  </w:t>
      </w:r>
      <w:r>
        <w:rPr>
          <w:b/>
        </w:rPr>
        <w:t xml:space="preserve">Construction; carbon emissions reductions</w:t>
      </w:r>
    </w:p>
    <w:p>
      <w:pPr>
        <w:jc w:val="both"/>
        <w:spacing w:before="100" w:after="100"/>
        <w:ind w:start="360"/>
        <w:ind w:firstLine="360"/>
      </w:pPr>
      <w:r>
        <w:rPr/>
      </w:r>
      <w:r>
        <w:rPr/>
      </w:r>
      <w:r>
        <w:t xml:space="preserve">Nothing in this chapter is intended to or may be construed to constitute a mandate that would prevent the sale of carbon emissions reductions into a voluntary carbon market.</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§10161. Construction; carbon emissions reductions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§10161. Construction; carbon emissions reductions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§10161. CONSTRUCTION; CARBON EMISSIONS REDUCTIONS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