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Short title</w:t>
      </w:r>
    </w:p>
    <w:p>
      <w:pPr>
        <w:jc w:val="both"/>
        <w:spacing w:before="100" w:after="100"/>
        <w:ind w:start="360"/>
        <w:ind w:firstLine="360"/>
      </w:pPr>
      <w:r>
        <w:rPr/>
      </w:r>
      <w:r>
        <w:rPr/>
      </w:r>
      <w:r>
        <w:t xml:space="preserve">This chapter shall be known and may be cited as the Uniform Federal Lien Registration Act.</w:t>
      </w:r>
      <w:r>
        <w:t xml:space="preserve">  </w:t>
      </w:r>
      <w:r xmlns:wp="http://schemas.openxmlformats.org/drawingml/2010/wordprocessingDrawing" xmlns:w15="http://schemas.microsoft.com/office/word/2012/wordml">
        <w:rPr>
          <w:rFonts w:ascii="Arial" w:hAnsi="Arial" w:cs="Arial"/>
          <w:sz w:val="22"/>
          <w:szCs w:val="22"/>
        </w:rPr>
        <w:t xml:space="preserve">[PL 1989, c. 502, Pt. A, §121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