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Extraordinary reporting requirements</w:t>
      </w:r>
    </w:p>
    <w:p>
      <w:pPr>
        <w:jc w:val="both"/>
        <w:spacing w:before="100" w:after="100"/>
        <w:ind w:start="360"/>
        <w:ind w:firstLine="360"/>
      </w:pPr>
      <w:r>
        <w:rPr>
          <w:b/>
        </w:rPr>
        <w:t>1</w:t>
        <w:t xml:space="preserve">.  </w:t>
      </w:r>
      <w:r>
        <w:rPr>
          <w:b/>
        </w:rPr>
        <w:t xml:space="preserve">Written report.</w:t>
        <w:t xml:space="preserve"> </w:t>
      </w:r>
      <w:r>
        <w:t xml:space="preserve"> </w:t>
      </w:r>
      <w:r>
        <w:t xml:space="preserve">Within 15 days of the occurrence of any one of the events listed below, a licensee shall file a written report with the administrator describing the event and its expected impact on the licensee's activities in the State:</w:t>
      </w:r>
    </w:p>
    <w:p>
      <w:pPr>
        <w:jc w:val="both"/>
        <w:spacing w:before="100" w:after="0"/>
        <w:ind w:start="720"/>
      </w:pPr>
      <w:r>
        <w:rPr/>
        <w:t>A</w:t>
        <w:t xml:space="preserve">.  </w:t>
      </w:r>
      <w:r>
        <w:rPr/>
      </w:r>
      <w:r>
        <w:t xml:space="preserve">The filing for bankruptcy or reorganization by the licensee;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institution of revocation or suspension proceedings against the licensee by any state or governmental authority with regard to the licensee's money transmission activities;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felony indictment of the licensee or any of its executive officers or directors related to money transmission activities;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felony conviction of the licensee or any of its executive officers or directors related to money transmission activities.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§6111. Extraordinary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Extraordinary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§6111. EXTRAORDINARY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