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19309</w:t>
        <w:t xml:space="preserve">.  </w:t>
      </w:r>
      <w:r>
        <w:rPr>
          <w:b/>
        </w:rPr>
        <w:t xml:space="preserve">Minimum standards for eye examination</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following are minimum standards for an eye examination:</w:t>
      </w:r>
    </w:p>
    <w:p>
      <w:pPr>
        <w:jc w:val="both"/>
        <w:spacing w:before="100" w:after="0"/>
        <w:ind w:start="720"/>
      </w:pPr>
      <w:r>
        <w:rPr/>
        <w:t>A</w:t>
        <w:t xml:space="preserve">.  </w:t>
      </w:r>
      <w:r>
        <w:rPr/>
      </w:r>
      <w:r>
        <w:t xml:space="preserve">A history of the patient's ocular and medical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 record of the entrance visual acuity of each eye;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A physical examination of each eye in an in-person clinical setting by the licensee in accordance with any requirements and restrictions imposed by this chapter and in accordance with the standard of care;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An assessment of the examination results;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A treatment and management plan;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If performing a refraction, the performance of an objective and subjective refraction, when practicable; and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Such other standards or requirements as may be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§19309. Minimum standards for eye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§19309. Minimum standards for eye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§19309. MINIMUM STANDARDS FOR EYE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