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1080"/>
      </w:pPr>
      <w:r>
        <w:rPr/>
        <w:t>(</w:t>
        <w:t>1</w:t>
        <w:t xml:space="preserve">)  </w:t>
      </w:r>
      <w:r>
        <w:rPr/>
      </w:r>
      <w:r>
        <w:t xml:space="preserve">Provide written notice to the defaulting state and other participating states. The notice must describe the default, the proposed means of curing the default and any other action that the commission may take; and</w:t>
      </w:r>
    </w:p>
    <w:p>
      <w:pPr>
        <w:jc w:val="both"/>
        <w:spacing w:before="100" w:after="0"/>
        <w:ind w:start="1080"/>
      </w:pPr>
      <w:r>
        <w:rPr/>
        <w:t>(</w:t>
        <w:t>2</w:t>
        <w:t xml:space="preserve">)  </w:t>
      </w:r>
      <w:r>
        <w:rPr/>
      </w:r>
      <w:r>
        <w:t xml:space="preserve">Offer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boards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the state shall immediately provide notice to all licensees within that state and licensees of other participating states who have been issued a compact privilege within that state, of such termination that licensees who have been granted a compact privilege in that state retain the compact privilege for 180 days following the effective date of such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remedies herein must not be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Legal action against the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No individual or entity other than a participating state may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§18441.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§18441.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§18441.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