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Licenses; seals</w:t>
      </w:r>
    </w:p>
    <w:p>
      <w:pPr>
        <w:jc w:val="both"/>
        <w:spacing w:before="100" w:after="100"/>
        <w:ind w:start="360"/>
        <w:ind w:firstLine="360"/>
      </w:pPr>
      <w:r>
        <w:rPr/>
      </w:r>
      <w:r>
        <w:rPr/>
      </w:r>
      <w:r>
        <w:t xml:space="preserve">The board shall issue a license upon payment of the licensure fee as provided for in this chapter, to any applicant who, in the opinion of the board, has satisfactorily met all the requirements of this chapter. The license authorizes the practice of "professional engineering." Licenses must show the full name of the licensee, have a serial number and be signed by the chair of the board under seal of the board.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w:pPr>
        <w:jc w:val="both"/>
        <w:spacing w:before="100" w:after="100"/>
        <w:ind w:start="360"/>
        <w:ind w:firstLine="360"/>
      </w:pPr>
      <w:r>
        <w:rPr/>
      </w:r>
      <w:r>
        <w:rPr/>
      </w:r>
      <w:r>
        <w:t xml:space="preserve">The issuance of a license by the board is evidence that the person named therein is entitled to all the rights and privileges of a licensed professional engineer while the license remains unrevoked or unexpired.</w:t>
      </w:r>
      <w:r>
        <w:t xml:space="preserve">  </w:t>
      </w:r>
      <w:r xmlns:wp="http://schemas.openxmlformats.org/drawingml/2010/wordprocessingDrawing" xmlns:w15="http://schemas.microsoft.com/office/word/2012/wordml">
        <w:rPr>
          <w:rFonts w:ascii="Arial" w:hAnsi="Arial" w:cs="Arial"/>
          <w:sz w:val="22"/>
          <w:szCs w:val="22"/>
        </w:rPr>
        <w:t xml:space="preserve">[RR 2005, c. 1, §15 (COR).]</w:t>
      </w:r>
    </w:p>
    <w:p>
      <w:pPr>
        <w:jc w:val="both"/>
        <w:spacing w:before="100" w:after="100"/>
        <w:ind w:start="360"/>
        <w:ind w:firstLine="360"/>
      </w:pPr>
      <w:r>
        <w:rPr/>
      </w:r>
      <w:r>
        <w:rPr/>
      </w:r>
      <w:r>
        <w:t xml:space="preserve">Each licensee upon licensure may obtain a seal of the design authorized by the board, bearing the licensee's name and the legend "licensed professional engineer." Plans, specifications, plats and reports issued by a licensee must be stamped with the seal, as prescribed in the rules of the board, during the life of the licensee's license, but it is unlawful for anyone to stamp or seal any document with the seal after the license of the licensee named thereon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§22 (AMD). RR 2005, c. 1,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§1355. Licenses;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Licenses;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§1355. LICENSES;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