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Fees,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§§U29-31 (AMD). PL 1993, c. 316, §§65-73 (AMD). PL 1995, c. 458, §§16,17 (AMD). PL 1997, c. 376, §§42-46 (AMD). PL 1999, c. 594, §§22,23 (AMD). PL 1999, c. 638, §§16-20 (AMD). RR 2003, c. 2, §95 (COR). PL 2003, c. 344, §§C14-18 (AMD). PL 2003, c. 631, §§42-48 (AMD). PL 2003, c. 673, §§WWW14-21 (AMD). PL 2003, c. 673, §WWW37 (AFF). PL 2003, c. 673, §XXX4, 5 (AMD). PL 2003, c. 673, §XXX10 (AFF). PL 2005, c. 12, §§FF6-8 (AMD). PL 2005, c. 397, §A34 (AMD). PL 2005, c. 397, §A35 (AFF). PL 2005, c. 529, §5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 Fees,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Fees,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§526. FEES,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