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§3773. MAINTENANCE OF RECORDS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