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2956</w:t>
        <w:t xml:space="preserve">.  </w:t>
      </w:r>
      <w:r>
        <w:rPr>
          <w:b/>
        </w:rPr>
        <w:t xml:space="preserve">Building of part assigned; remedy on failure</w:t>
      </w:r>
    </w:p>
    <w:p>
      <w:pPr>
        <w:jc w:val="both"/>
        <w:spacing w:before="100" w:after="100"/>
        <w:ind w:start="360"/>
        <w:ind w:firstLine="360"/>
      </w:pPr>
      <w:r>
        <w:rPr/>
      </w:r>
      <w:r>
        <w:rPr/>
      </w:r>
      <w:r>
        <w:t xml:space="preserve">If any party refuses or neglects to build and maintain the part thus assigned to that party, it may be done by the aggrieved party who is entitled to double the value and expenses, to be ascertained and recovered as provided in </w:t>
      </w:r>
      <w:r>
        <w:t>section 2954</w:t>
      </w:r>
      <w:r>
        <w:t xml:space="preserve">, and shall have a lien therefor on the land owned or occupied by the party neglecting or refusing to build or maintain the partition fence assigned to that party by the fence viewers, to be enforced by attachment made within one year from the day of division by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§2956. Building of part assigned; remedy on failure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§2956. Building of part assigned; remedy on failure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§2956. BUILDING OF PART ASSIGNED; REMEDY ON FAILURE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