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 ELECTION;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