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Report to the committee of jurisdiction</w:t>
      </w:r>
    </w:p>
    <w:p>
      <w:pPr>
        <w:jc w:val="both"/>
        <w:spacing w:before="100" w:after="100"/>
        <w:ind w:start="360"/>
        <w:ind w:firstLine="360"/>
      </w:pPr>
      <w:r>
        <w:rPr/>
      </w:r>
      <w:r>
        <w:rPr/>
      </w:r>
      <w:r>
        <w:t xml:space="preserve">An agency directed to undertake a retrospective review of one or more of its rules in a first regular session of the Legislature pursuant to </w:t>
      </w:r>
      <w:r>
        <w:t>section 972</w:t>
      </w:r>
      <w:r>
        <w:t xml:space="preserve"> shall submit a written report to the committee of jurisdiction on or before February 14th of the second regular session of that Legislature.  The report must address each of the criteria listed in </w:t>
      </w:r>
      <w:r>
        <w:t>section 973</w:t>
      </w:r>
      <w:r>
        <w:t xml:space="preserve"> for each rule reviewed by the agency and identify ways in which the agency proposes to amend the rule, if any, and recommend whether the legislative authority for each rule should be retained, repealed or modified.</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§974. Report to the committee of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Report to the committee of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§974. REPORT TO THE COMMITTEE OF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