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Suspension and revocation</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may suspend, revoke or deny any license, registration or renewal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547, Pt. B, §47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547, §B47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§853.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§853.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