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§1609. Nonresidents; accidents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Nonresidents; accidents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§1609. NONRESIDENTS; ACCIDENTS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