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Penalty for violation of provisions of Title</w:t>
      </w:r>
    </w:p>
    <w:p>
      <w:pPr>
        <w:jc w:val="both"/>
        <w:spacing w:before="100" w:after="100"/>
        <w:ind w:start="360"/>
        <w:ind w:firstLine="360"/>
      </w:pPr>
      <w:r>
        <w:rPr/>
      </w:r>
      <w:r>
        <w:rPr/>
      </w:r>
      <w:r>
        <w:t xml:space="preserve">Except as otherwise provided, a person who violates a provision of this Title commits a traffic infraction.  When a violation of this Title has a designated minimum sentence, the court may not suspend the sentence.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§104. Penalty for violation of provisions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Penalty for violation of provisions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§104. PENALTY FOR VIOLATION OF PROVISIONS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