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§104-C. Rulemaking;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§104-C. Rulemaking;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§104-C. RULEMAKING;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